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7c5ac78d80d94878"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124D" w14:textId="77777777" w:rsidR="00CF170B" w:rsidRDefault="006D6DBC" w:rsidP="000610A1">
      <w:pPr>
        <w:pStyle w:val="Title"/>
        <w:spacing w:after="600"/>
      </w:pPr>
      <w:r>
        <w:t>Literature and practice review: Support to make decisions that promote personal safety and prevent harm</w:t>
      </w:r>
    </w:p>
    <w:p w14:paraId="4DC7F035" w14:textId="77777777" w:rsidR="000610A1" w:rsidRDefault="000610A1" w:rsidP="00397AEE">
      <w:pPr>
        <w:pStyle w:val="Preparedfor"/>
      </w:pPr>
    </w:p>
    <w:p w14:paraId="0A571219" w14:textId="77777777" w:rsidR="00453A66" w:rsidRDefault="00397AEE" w:rsidP="00453A66">
      <w:pPr>
        <w:pStyle w:val="Preparedfor"/>
        <w:spacing w:after="240"/>
      </w:pPr>
      <w:r w:rsidRPr="00397AEE">
        <w:t>Prepared</w:t>
      </w:r>
      <w:r w:rsidR="00AE00EA">
        <w:t xml:space="preserve"> for:</w:t>
      </w:r>
      <w:r w:rsidR="00AE00EA">
        <w:br/>
      </w:r>
      <w:r w:rsidR="006D6DBC">
        <w:t>NSW Council of Social Service (NCOSS)</w:t>
      </w:r>
      <w:r w:rsidR="00453A66" w:rsidRPr="00453A66">
        <w:t xml:space="preserve"> </w:t>
      </w:r>
    </w:p>
    <w:p w14:paraId="495E11B0" w14:textId="77777777" w:rsidR="000610A1" w:rsidRDefault="000610A1" w:rsidP="00453A66">
      <w:pPr>
        <w:pStyle w:val="Preparedfor"/>
        <w:spacing w:after="600"/>
      </w:pPr>
    </w:p>
    <w:p w14:paraId="38D96727" w14:textId="77777777" w:rsidR="00A00A80" w:rsidRDefault="006D6DBC" w:rsidP="00AE00EA">
      <w:pPr>
        <w:pStyle w:val="Date"/>
      </w:pPr>
      <w:r>
        <w:t>April 2017</w:t>
      </w:r>
    </w:p>
    <w:p w14:paraId="07571152" w14:textId="77777777" w:rsidR="00397AEE" w:rsidRPr="00397AEE" w:rsidRDefault="006D6DBC" w:rsidP="00AE00EA">
      <w:pPr>
        <w:pStyle w:val="Author"/>
      </w:pPr>
      <w:r>
        <w:t>Ariella Meltzer, Sally Robinson, Yvette Proud, Karen R. Fisher</w:t>
      </w:r>
    </w:p>
    <w:p w14:paraId="32403B93" w14:textId="77777777" w:rsidR="00CF170B" w:rsidRDefault="00CF170B">
      <w:pPr>
        <w:numPr>
          <w:ilvl w:val="0"/>
          <w:numId w:val="0"/>
        </w:numPr>
        <w:tabs>
          <w:tab w:val="clear" w:pos="357"/>
        </w:tabs>
      </w:pPr>
      <w:r>
        <w:br w:type="page"/>
      </w:r>
    </w:p>
    <w:p w14:paraId="653A4680" w14:textId="77777777" w:rsidR="008C7A2C" w:rsidRDefault="008C7A2C" w:rsidP="008C7A2C">
      <w:pPr>
        <w:pStyle w:val="AcknowledgementBeforespace"/>
        <w:spacing w:after="0"/>
      </w:pPr>
      <w:bookmarkStart w:id="0" w:name="_Ref471977316"/>
    </w:p>
    <w:p w14:paraId="07AF7D03" w14:textId="77777777" w:rsidR="006D6DBC" w:rsidRPr="008C7A2C" w:rsidRDefault="0074680A" w:rsidP="008C7A2C">
      <w:pPr>
        <w:pStyle w:val="AcknowledgementBeforespace"/>
        <w:spacing w:after="0"/>
      </w:pPr>
      <w:r w:rsidRPr="005A20FA">
        <w:rPr>
          <w:b/>
          <w:sz w:val="22"/>
        </w:rPr>
        <w:t>Research Team</w:t>
      </w:r>
      <w:r w:rsidR="007B2CB3">
        <w:br/>
      </w:r>
      <w:bookmarkEnd w:id="0"/>
      <w:r w:rsidR="006D6DBC" w:rsidRPr="006D6DBC">
        <w:rPr>
          <w:b/>
          <w:sz w:val="20"/>
        </w:rPr>
        <w:t>Social Policy Research Centre</w:t>
      </w:r>
      <w:r w:rsidR="006D6DBC">
        <w:t>:</w:t>
      </w:r>
    </w:p>
    <w:p w14:paraId="725B8DC4" w14:textId="77777777" w:rsidR="006D6DBC" w:rsidRDefault="006D6DBC" w:rsidP="006D6DBC">
      <w:pPr>
        <w:pStyle w:val="AcknowledgementBeforespace"/>
        <w:spacing w:before="0" w:after="0"/>
        <w:rPr>
          <w:sz w:val="20"/>
        </w:rPr>
      </w:pPr>
      <w:r>
        <w:rPr>
          <w:sz w:val="20"/>
        </w:rPr>
        <w:t>Karen R. Fisher</w:t>
      </w:r>
    </w:p>
    <w:p w14:paraId="3D5A8274" w14:textId="77777777" w:rsidR="006D6DBC" w:rsidRDefault="006D6DBC" w:rsidP="006D6DBC">
      <w:pPr>
        <w:pStyle w:val="AcknowledgementBeforespace"/>
        <w:spacing w:before="0" w:after="0"/>
        <w:rPr>
          <w:sz w:val="20"/>
        </w:rPr>
      </w:pPr>
      <w:r>
        <w:rPr>
          <w:sz w:val="20"/>
        </w:rPr>
        <w:t>Rosemary Kayess</w:t>
      </w:r>
    </w:p>
    <w:p w14:paraId="544B657F" w14:textId="77777777" w:rsidR="0074680A" w:rsidRDefault="006D6DBC" w:rsidP="006D6DBC">
      <w:pPr>
        <w:pStyle w:val="AcknowledgementBeforespace"/>
        <w:spacing w:before="0" w:after="0"/>
        <w:rPr>
          <w:sz w:val="20"/>
        </w:rPr>
      </w:pPr>
      <w:r>
        <w:rPr>
          <w:sz w:val="20"/>
        </w:rPr>
        <w:t>Christiane Purcal</w:t>
      </w:r>
    </w:p>
    <w:p w14:paraId="6B818C4E" w14:textId="77777777" w:rsidR="006D6DBC" w:rsidRPr="006D6DBC" w:rsidRDefault="006D6DBC" w:rsidP="006D6DBC">
      <w:pPr>
        <w:pStyle w:val="AcknowledgementBeforespace"/>
        <w:spacing w:before="0" w:after="0"/>
        <w:rPr>
          <w:sz w:val="20"/>
        </w:rPr>
      </w:pPr>
      <w:r w:rsidRPr="006D6DBC">
        <w:rPr>
          <w:sz w:val="20"/>
        </w:rPr>
        <w:t>Sandra Gendera</w:t>
      </w:r>
    </w:p>
    <w:p w14:paraId="63F07E00" w14:textId="77777777" w:rsidR="006D6DBC" w:rsidRPr="006D6DBC" w:rsidRDefault="006D6DBC" w:rsidP="006D6DBC">
      <w:pPr>
        <w:pStyle w:val="AcknowledgementBeforespace"/>
        <w:spacing w:before="0" w:after="0"/>
        <w:rPr>
          <w:sz w:val="20"/>
        </w:rPr>
      </w:pPr>
      <w:r w:rsidRPr="006D6DBC">
        <w:rPr>
          <w:sz w:val="20"/>
        </w:rPr>
        <w:t>Ariella Meltzer</w:t>
      </w:r>
    </w:p>
    <w:p w14:paraId="1C1EB4F9" w14:textId="77777777" w:rsidR="006D6DBC" w:rsidRPr="006D6DBC" w:rsidRDefault="006D6DBC" w:rsidP="006D6DBC">
      <w:pPr>
        <w:pStyle w:val="AcknowledgementBeforespace"/>
        <w:spacing w:before="0" w:after="0"/>
        <w:rPr>
          <w:b/>
          <w:sz w:val="20"/>
        </w:rPr>
      </w:pPr>
      <w:r w:rsidRPr="006D6DBC">
        <w:rPr>
          <w:b/>
          <w:sz w:val="20"/>
        </w:rPr>
        <w:t>Southern Cross University</w:t>
      </w:r>
      <w:r>
        <w:t>:</w:t>
      </w:r>
    </w:p>
    <w:p w14:paraId="6111684E" w14:textId="77777777" w:rsidR="006D6DBC" w:rsidRPr="006D6DBC" w:rsidRDefault="006D6DBC" w:rsidP="006D6DBC">
      <w:pPr>
        <w:pStyle w:val="AcknowledgementBeforespace"/>
        <w:spacing w:before="0" w:after="0"/>
        <w:rPr>
          <w:sz w:val="20"/>
        </w:rPr>
      </w:pPr>
      <w:r w:rsidRPr="006D6DBC">
        <w:rPr>
          <w:sz w:val="20"/>
        </w:rPr>
        <w:t>Sally Robinson</w:t>
      </w:r>
    </w:p>
    <w:p w14:paraId="73DB6CD9" w14:textId="77777777" w:rsidR="006D6DBC" w:rsidRPr="006D6DBC" w:rsidRDefault="006D6DBC" w:rsidP="006D6DBC">
      <w:pPr>
        <w:pStyle w:val="AcknowledgementBeforespace"/>
        <w:spacing w:before="0" w:after="0"/>
        <w:rPr>
          <w:b/>
          <w:sz w:val="20"/>
        </w:rPr>
      </w:pPr>
      <w:r w:rsidRPr="006D6DBC">
        <w:rPr>
          <w:b/>
          <w:sz w:val="20"/>
        </w:rPr>
        <w:t>NCOSS</w:t>
      </w:r>
      <w:r>
        <w:t>:</w:t>
      </w:r>
    </w:p>
    <w:p w14:paraId="43EBABFB" w14:textId="77777777" w:rsidR="006D6DBC" w:rsidRPr="006D6DBC" w:rsidRDefault="006D6DBC" w:rsidP="006D6DBC">
      <w:pPr>
        <w:pStyle w:val="AcknowledgementBeforespace"/>
        <w:spacing w:before="0" w:after="0"/>
        <w:rPr>
          <w:sz w:val="20"/>
        </w:rPr>
      </w:pPr>
      <w:r w:rsidRPr="006D6DBC">
        <w:rPr>
          <w:sz w:val="20"/>
        </w:rPr>
        <w:t>Carolyn Hodge</w:t>
      </w:r>
    </w:p>
    <w:p w14:paraId="43318C6F" w14:textId="77777777" w:rsidR="006D6DBC" w:rsidRPr="006D6DBC" w:rsidRDefault="006D6DBC" w:rsidP="006D6DBC">
      <w:pPr>
        <w:pStyle w:val="AcknowledgementBeforespace"/>
        <w:spacing w:before="0" w:after="0"/>
        <w:rPr>
          <w:b/>
          <w:sz w:val="16"/>
        </w:rPr>
      </w:pPr>
      <w:r w:rsidRPr="006D6DBC">
        <w:rPr>
          <w:sz w:val="20"/>
        </w:rPr>
        <w:t>Yvette Proud</w:t>
      </w:r>
    </w:p>
    <w:p w14:paraId="5EE54667" w14:textId="77777777" w:rsidR="0074680A" w:rsidRDefault="0074680A" w:rsidP="007B2CB3">
      <w:pPr>
        <w:pStyle w:val="Acknowledgementtext"/>
        <w:numPr>
          <w:ilvl w:val="0"/>
          <w:numId w:val="34"/>
        </w:numPr>
        <w:tabs>
          <w:tab w:val="left" w:pos="357"/>
        </w:tabs>
      </w:pPr>
      <w:r>
        <w:t>For further information</w:t>
      </w:r>
      <w:r w:rsidR="005A20FA">
        <w:t>:</w:t>
      </w:r>
      <w:r w:rsidR="007B2CB3">
        <w:br/>
      </w:r>
      <w:r w:rsidR="006D6DBC">
        <w:t>Ariella Meltzer</w:t>
      </w:r>
      <w:r>
        <w:t xml:space="preserve"> </w:t>
      </w:r>
      <w:r w:rsidR="005A20FA">
        <w:t>+61 2 9385 7800</w:t>
      </w:r>
      <w:r w:rsidR="006D6DBC">
        <w:t xml:space="preserve">, </w:t>
      </w:r>
      <w:hyperlink r:id="rId9" w:history="1">
        <w:r w:rsidR="006D6DBC" w:rsidRPr="000820DE">
          <w:rPr>
            <w:rStyle w:val="Hyperlink"/>
          </w:rPr>
          <w:t>a.meltzer@unsw.edu.au</w:t>
        </w:r>
      </w:hyperlink>
      <w:r w:rsidR="006D6DBC">
        <w:t xml:space="preserve"> </w:t>
      </w:r>
    </w:p>
    <w:p w14:paraId="1CCAD395" w14:textId="77777777" w:rsidR="0074680A" w:rsidRDefault="0074680A" w:rsidP="008C7A2C">
      <w:pPr>
        <w:pStyle w:val="AcknowledgementBold"/>
        <w:numPr>
          <w:ilvl w:val="0"/>
          <w:numId w:val="34"/>
        </w:numPr>
        <w:tabs>
          <w:tab w:val="left" w:pos="357"/>
        </w:tabs>
        <w:spacing w:after="0"/>
      </w:pPr>
      <w:r>
        <w:t>Social Policy Research Centre</w:t>
      </w:r>
    </w:p>
    <w:p w14:paraId="2C23BFC4" w14:textId="77777777" w:rsidR="0074680A" w:rsidRDefault="0074680A" w:rsidP="008C7A2C">
      <w:pPr>
        <w:pStyle w:val="Acknowledgementtext"/>
        <w:numPr>
          <w:ilvl w:val="0"/>
          <w:numId w:val="34"/>
        </w:numPr>
        <w:tabs>
          <w:tab w:val="left" w:pos="357"/>
        </w:tabs>
        <w:spacing w:before="0"/>
      </w:pPr>
      <w:r>
        <w:t xml:space="preserve">UNSW Arts &amp; Social Sciences </w:t>
      </w:r>
      <w:r w:rsidR="007B2CB3">
        <w:br/>
      </w:r>
      <w:r>
        <w:t xml:space="preserve">UNSW Australia </w:t>
      </w:r>
      <w:r>
        <w:br/>
        <w:t xml:space="preserve">UNSW Sydney NSW 2052 Australia </w:t>
      </w:r>
    </w:p>
    <w:p w14:paraId="7280845D" w14:textId="77777777" w:rsidR="007B2CB3" w:rsidRDefault="00397AEE" w:rsidP="007B2CB3">
      <w:pPr>
        <w:pStyle w:val="Acknowledgementtext"/>
        <w:numPr>
          <w:ilvl w:val="0"/>
          <w:numId w:val="34"/>
        </w:numPr>
        <w:tabs>
          <w:tab w:val="left" w:pos="357"/>
        </w:tabs>
        <w:contextualSpacing/>
      </w:pPr>
      <w:r>
        <w:t xml:space="preserve">T +61 2 9385 7800 </w:t>
      </w:r>
    </w:p>
    <w:p w14:paraId="4762CC89" w14:textId="77777777" w:rsidR="0074680A" w:rsidRDefault="00397AEE" w:rsidP="007B2CB3">
      <w:pPr>
        <w:pStyle w:val="Acknowledgementtext"/>
        <w:numPr>
          <w:ilvl w:val="0"/>
          <w:numId w:val="34"/>
        </w:numPr>
        <w:tabs>
          <w:tab w:val="left" w:pos="357"/>
        </w:tabs>
        <w:contextualSpacing/>
      </w:pPr>
      <w:r>
        <w:t xml:space="preserve">F </w:t>
      </w:r>
      <w:r w:rsidR="0074680A">
        <w:t xml:space="preserve">+61 2 9385 7838 </w:t>
      </w:r>
    </w:p>
    <w:p w14:paraId="344D7B36" w14:textId="77777777" w:rsidR="0074680A" w:rsidRDefault="00397AEE" w:rsidP="007B2CB3">
      <w:pPr>
        <w:pStyle w:val="Acknowledgementtext"/>
        <w:numPr>
          <w:ilvl w:val="0"/>
          <w:numId w:val="34"/>
        </w:numPr>
        <w:tabs>
          <w:tab w:val="left" w:pos="357"/>
        </w:tabs>
        <w:contextualSpacing/>
      </w:pPr>
      <w:r>
        <w:t xml:space="preserve">E </w:t>
      </w:r>
      <w:hyperlink r:id="rId10" w:history="1">
        <w:r w:rsidR="0074680A" w:rsidRPr="00397AEE">
          <w:rPr>
            <w:rStyle w:val="Hyperlink"/>
          </w:rPr>
          <w:t>sprc@unsw.edu.au</w:t>
        </w:r>
      </w:hyperlink>
      <w:r w:rsidR="0074680A">
        <w:t xml:space="preserve"> </w:t>
      </w:r>
    </w:p>
    <w:p w14:paraId="1B7C9F7C" w14:textId="77777777" w:rsidR="00397AEE" w:rsidRDefault="00397AEE" w:rsidP="00397AEE">
      <w:pPr>
        <w:pStyle w:val="Acknowledgementtext"/>
        <w:numPr>
          <w:ilvl w:val="0"/>
          <w:numId w:val="34"/>
        </w:numPr>
        <w:tabs>
          <w:tab w:val="left" w:pos="357"/>
        </w:tabs>
      </w:pPr>
      <w:r>
        <w:t xml:space="preserve">W </w:t>
      </w:r>
      <w:hyperlink r:id="rId11" w:history="1">
        <w:r w:rsidRPr="00C317FF">
          <w:rPr>
            <w:rStyle w:val="Hyperlink"/>
          </w:rPr>
          <w:t>www.sprc.unsw.edu.au</w:t>
        </w:r>
      </w:hyperlink>
    </w:p>
    <w:p w14:paraId="16FF1BDC" w14:textId="77777777" w:rsidR="0074680A" w:rsidRPr="005A20FA" w:rsidRDefault="00574B2E" w:rsidP="007B2CB3">
      <w:pPr>
        <w:numPr>
          <w:ilvl w:val="0"/>
          <w:numId w:val="0"/>
        </w:numPr>
        <w:spacing w:before="360"/>
        <w:rPr>
          <w:sz w:val="20"/>
        </w:rPr>
      </w:pPr>
      <w:r>
        <w:rPr>
          <w:sz w:val="20"/>
        </w:rPr>
        <w:t xml:space="preserve">© UNSW </w:t>
      </w:r>
      <w:r w:rsidR="008C7A2C" w:rsidRPr="008C7A2C">
        <w:rPr>
          <w:sz w:val="20"/>
        </w:rPr>
        <w:t>Sydney</w:t>
      </w:r>
      <w:r w:rsidRPr="008C7A2C">
        <w:rPr>
          <w:sz w:val="18"/>
        </w:rPr>
        <w:t xml:space="preserve"> </w:t>
      </w:r>
      <w:r>
        <w:rPr>
          <w:sz w:val="20"/>
        </w:rPr>
        <w:t>2017</w:t>
      </w:r>
    </w:p>
    <w:p w14:paraId="53DC8928" w14:textId="77777777" w:rsidR="0074680A" w:rsidRDefault="0074680A" w:rsidP="007B2CB3">
      <w:pPr>
        <w:pStyle w:val="Acknowledgementtext"/>
      </w:pPr>
      <w:r>
        <w:t>Suggested citation:</w:t>
      </w:r>
    </w:p>
    <w:p w14:paraId="4E86B340" w14:textId="77777777" w:rsidR="002A41AC" w:rsidRDefault="008C7A2C" w:rsidP="005A20FA">
      <w:pPr>
        <w:pStyle w:val="Acknowledgementtext"/>
        <w:sectPr w:rsidR="002A41AC" w:rsidSect="00876D1C">
          <w:footerReference w:type="even" r:id="rId12"/>
          <w:footerReference w:type="default" r:id="rId13"/>
          <w:headerReference w:type="first" r:id="rId14"/>
          <w:footerReference w:type="first" r:id="rId15"/>
          <w:pgSz w:w="11906" w:h="16838" w:code="9"/>
          <w:pgMar w:top="1418" w:right="1134" w:bottom="1418" w:left="1134" w:header="680" w:footer="510" w:gutter="0"/>
          <w:pgNumType w:start="0"/>
          <w:cols w:space="708"/>
          <w:titlePg/>
          <w:docGrid w:linePitch="360"/>
        </w:sectPr>
      </w:pPr>
      <w:r>
        <w:t>Meltzer, A., Robinson, S., Proud, Y., &amp; Fisher, K. R</w:t>
      </w:r>
      <w:r w:rsidR="00574B2E">
        <w:t>. (2017</w:t>
      </w:r>
      <w:r w:rsidR="005A20FA">
        <w:t xml:space="preserve">). </w:t>
      </w:r>
      <w:r>
        <w:t>Literature and practice review: Support to make decisions that promote personal safety and prevent harm.</w:t>
      </w:r>
      <w:r w:rsidR="0074680A">
        <w:t xml:space="preserve"> Sydney: Social Policy </w:t>
      </w:r>
      <w:r w:rsidR="00EE7B27">
        <w:t xml:space="preserve">Research Centre, UNSW </w:t>
      </w:r>
      <w:r>
        <w:t>Sydney</w:t>
      </w:r>
      <w:r w:rsidR="00624B29">
        <w:t>.</w:t>
      </w:r>
    </w:p>
    <w:p w14:paraId="2097716C" w14:textId="77777777" w:rsidR="002A41AC" w:rsidRDefault="002A41AC" w:rsidP="00306054">
      <w:pPr>
        <w:pStyle w:val="TOAHeading"/>
      </w:pPr>
      <w:bookmarkStart w:id="1" w:name="_Toc456332946"/>
      <w:r>
        <w:lastRenderedPageBreak/>
        <w:t>Contents</w:t>
      </w:r>
      <w:bookmarkEnd w:id="1"/>
    </w:p>
    <w:p w14:paraId="6CE70789" w14:textId="77777777" w:rsidR="00FC5892" w:rsidRDefault="003F476F">
      <w:pPr>
        <w:pStyle w:val="TOC1"/>
        <w:rPr>
          <w:rFonts w:asciiTheme="minorHAnsi" w:eastAsiaTheme="minorEastAsia" w:hAnsiTheme="minorHAnsi"/>
          <w:b w:val="0"/>
          <w:lang w:eastAsia="en-AU"/>
        </w:rPr>
      </w:pPr>
      <w:r>
        <w:rPr>
          <w:b w:val="0"/>
          <w:sz w:val="20"/>
        </w:rPr>
        <w:fldChar w:fldCharType="begin"/>
      </w:r>
      <w:r w:rsidRPr="00306054">
        <w:rPr>
          <w:b w:val="0"/>
          <w:sz w:val="20"/>
        </w:rPr>
        <w:instrText xml:space="preserve"> TOC \o "1-1" \h \z \t "Heading 2,2,Heading 6,1,Exec Summary Heading,1" </w:instrText>
      </w:r>
      <w:r>
        <w:rPr>
          <w:b w:val="0"/>
          <w:sz w:val="20"/>
        </w:rPr>
        <w:fldChar w:fldCharType="separate"/>
      </w:r>
      <w:hyperlink w:anchor="_Toc480381279" w:history="1">
        <w:r w:rsidR="00FC5892" w:rsidRPr="0097460F">
          <w:rPr>
            <w:rStyle w:val="Hyperlink"/>
            <w:noProof/>
          </w:rPr>
          <w:t>Preface</w:t>
        </w:r>
        <w:r w:rsidR="00FC5892">
          <w:rPr>
            <w:webHidden/>
          </w:rPr>
          <w:tab/>
        </w:r>
        <w:r w:rsidR="00FC5892">
          <w:rPr>
            <w:webHidden/>
          </w:rPr>
          <w:fldChar w:fldCharType="begin"/>
        </w:r>
        <w:r w:rsidR="00FC5892">
          <w:rPr>
            <w:webHidden/>
          </w:rPr>
          <w:instrText xml:space="preserve"> PAGEREF _Toc480381279 \h </w:instrText>
        </w:r>
        <w:r w:rsidR="00FC5892">
          <w:rPr>
            <w:webHidden/>
          </w:rPr>
        </w:r>
        <w:r w:rsidR="00FC5892">
          <w:rPr>
            <w:webHidden/>
          </w:rPr>
          <w:fldChar w:fldCharType="separate"/>
        </w:r>
        <w:r w:rsidR="006F2075">
          <w:rPr>
            <w:webHidden/>
          </w:rPr>
          <w:t>1</w:t>
        </w:r>
        <w:r w:rsidR="00FC5892">
          <w:rPr>
            <w:webHidden/>
          </w:rPr>
          <w:fldChar w:fldCharType="end"/>
        </w:r>
      </w:hyperlink>
    </w:p>
    <w:p w14:paraId="761901A9" w14:textId="77777777" w:rsidR="00FC5892" w:rsidRDefault="004705CE">
      <w:pPr>
        <w:pStyle w:val="TOC1"/>
        <w:rPr>
          <w:rFonts w:asciiTheme="minorHAnsi" w:eastAsiaTheme="minorEastAsia" w:hAnsiTheme="minorHAnsi"/>
          <w:b w:val="0"/>
          <w:lang w:eastAsia="en-AU"/>
        </w:rPr>
      </w:pPr>
      <w:hyperlink w:anchor="_Toc480381280" w:history="1">
        <w:r w:rsidR="00FC5892" w:rsidRPr="0097460F">
          <w:rPr>
            <w:rStyle w:val="Hyperlink"/>
            <w:noProof/>
          </w:rPr>
          <w:t>1.</w:t>
        </w:r>
        <w:r w:rsidR="00FC5892">
          <w:rPr>
            <w:rFonts w:asciiTheme="minorHAnsi" w:eastAsiaTheme="minorEastAsia" w:hAnsiTheme="minorHAnsi"/>
            <w:b w:val="0"/>
            <w:lang w:eastAsia="en-AU"/>
          </w:rPr>
          <w:tab/>
        </w:r>
        <w:r w:rsidR="00FC5892" w:rsidRPr="0097460F">
          <w:rPr>
            <w:rStyle w:val="Hyperlink"/>
            <w:noProof/>
          </w:rPr>
          <w:t>Introduction</w:t>
        </w:r>
        <w:r w:rsidR="00FC5892">
          <w:rPr>
            <w:webHidden/>
          </w:rPr>
          <w:tab/>
        </w:r>
        <w:r w:rsidR="00FC5892">
          <w:rPr>
            <w:webHidden/>
          </w:rPr>
          <w:fldChar w:fldCharType="begin"/>
        </w:r>
        <w:r w:rsidR="00FC5892">
          <w:rPr>
            <w:webHidden/>
          </w:rPr>
          <w:instrText xml:space="preserve"> PAGEREF _Toc480381280 \h </w:instrText>
        </w:r>
        <w:r w:rsidR="00FC5892">
          <w:rPr>
            <w:webHidden/>
          </w:rPr>
        </w:r>
        <w:r w:rsidR="00FC5892">
          <w:rPr>
            <w:webHidden/>
          </w:rPr>
          <w:fldChar w:fldCharType="separate"/>
        </w:r>
        <w:r w:rsidR="006F2075">
          <w:rPr>
            <w:webHidden/>
          </w:rPr>
          <w:t>2</w:t>
        </w:r>
        <w:r w:rsidR="00FC5892">
          <w:rPr>
            <w:webHidden/>
          </w:rPr>
          <w:fldChar w:fldCharType="end"/>
        </w:r>
      </w:hyperlink>
    </w:p>
    <w:p w14:paraId="3861AA01" w14:textId="77777777" w:rsidR="00FC5892" w:rsidRDefault="004705CE">
      <w:pPr>
        <w:pStyle w:val="TOC2"/>
        <w:rPr>
          <w:rFonts w:asciiTheme="minorHAnsi" w:eastAsiaTheme="minorEastAsia" w:hAnsiTheme="minorHAnsi" w:cstheme="minorBidi"/>
          <w:bCs w:val="0"/>
          <w:lang w:eastAsia="en-AU"/>
        </w:rPr>
      </w:pPr>
      <w:hyperlink w:anchor="_Toc480381281" w:history="1">
        <w:r w:rsidR="00FC5892" w:rsidRPr="0097460F">
          <w:rPr>
            <w:rStyle w:val="Hyperlink"/>
            <w:noProof/>
          </w:rPr>
          <w:t>1.1</w:t>
        </w:r>
        <w:r w:rsidR="00FC5892">
          <w:rPr>
            <w:rFonts w:asciiTheme="minorHAnsi" w:eastAsiaTheme="minorEastAsia" w:hAnsiTheme="minorHAnsi" w:cstheme="minorBidi"/>
            <w:bCs w:val="0"/>
            <w:lang w:eastAsia="en-AU"/>
          </w:rPr>
          <w:tab/>
        </w:r>
        <w:r w:rsidR="00FC5892" w:rsidRPr="0097460F">
          <w:rPr>
            <w:rStyle w:val="Hyperlink"/>
            <w:noProof/>
          </w:rPr>
          <w:t>Glossary</w:t>
        </w:r>
        <w:r w:rsidR="00FC5892">
          <w:rPr>
            <w:webHidden/>
          </w:rPr>
          <w:tab/>
        </w:r>
        <w:r w:rsidR="00FC5892">
          <w:rPr>
            <w:webHidden/>
          </w:rPr>
          <w:fldChar w:fldCharType="begin"/>
        </w:r>
        <w:r w:rsidR="00FC5892">
          <w:rPr>
            <w:webHidden/>
          </w:rPr>
          <w:instrText xml:space="preserve"> PAGEREF _Toc480381281 \h </w:instrText>
        </w:r>
        <w:r w:rsidR="00FC5892">
          <w:rPr>
            <w:webHidden/>
          </w:rPr>
        </w:r>
        <w:r w:rsidR="00FC5892">
          <w:rPr>
            <w:webHidden/>
          </w:rPr>
          <w:fldChar w:fldCharType="separate"/>
        </w:r>
        <w:r w:rsidR="006F2075">
          <w:rPr>
            <w:webHidden/>
          </w:rPr>
          <w:t>4</w:t>
        </w:r>
        <w:r w:rsidR="00FC5892">
          <w:rPr>
            <w:webHidden/>
          </w:rPr>
          <w:fldChar w:fldCharType="end"/>
        </w:r>
      </w:hyperlink>
    </w:p>
    <w:p w14:paraId="15C3BAB6" w14:textId="77777777" w:rsidR="00FC5892" w:rsidRDefault="004705CE">
      <w:pPr>
        <w:pStyle w:val="TOC1"/>
        <w:rPr>
          <w:rFonts w:asciiTheme="minorHAnsi" w:eastAsiaTheme="minorEastAsia" w:hAnsiTheme="minorHAnsi"/>
          <w:b w:val="0"/>
          <w:lang w:eastAsia="en-AU"/>
        </w:rPr>
      </w:pPr>
      <w:hyperlink w:anchor="_Toc480381282" w:history="1">
        <w:r w:rsidR="00FC5892" w:rsidRPr="0097460F">
          <w:rPr>
            <w:rStyle w:val="Hyperlink"/>
            <w:noProof/>
          </w:rPr>
          <w:t>2.</w:t>
        </w:r>
        <w:r w:rsidR="00FC5892">
          <w:rPr>
            <w:rFonts w:asciiTheme="minorHAnsi" w:eastAsiaTheme="minorEastAsia" w:hAnsiTheme="minorHAnsi"/>
            <w:b w:val="0"/>
            <w:lang w:eastAsia="en-AU"/>
          </w:rPr>
          <w:tab/>
        </w:r>
        <w:r w:rsidR="00FC5892" w:rsidRPr="0097460F">
          <w:rPr>
            <w:rStyle w:val="Hyperlink"/>
            <w:noProof/>
          </w:rPr>
          <w:t>Subject of support</w:t>
        </w:r>
        <w:r w:rsidR="00FC5892">
          <w:rPr>
            <w:webHidden/>
          </w:rPr>
          <w:tab/>
        </w:r>
        <w:r w:rsidR="00FC5892">
          <w:rPr>
            <w:webHidden/>
          </w:rPr>
          <w:fldChar w:fldCharType="begin"/>
        </w:r>
        <w:r w:rsidR="00FC5892">
          <w:rPr>
            <w:webHidden/>
          </w:rPr>
          <w:instrText xml:space="preserve"> PAGEREF _Toc480381282 \h </w:instrText>
        </w:r>
        <w:r w:rsidR="00FC5892">
          <w:rPr>
            <w:webHidden/>
          </w:rPr>
        </w:r>
        <w:r w:rsidR="00FC5892">
          <w:rPr>
            <w:webHidden/>
          </w:rPr>
          <w:fldChar w:fldCharType="separate"/>
        </w:r>
        <w:r w:rsidR="006F2075">
          <w:rPr>
            <w:webHidden/>
          </w:rPr>
          <w:t>5</w:t>
        </w:r>
        <w:r w:rsidR="00FC5892">
          <w:rPr>
            <w:webHidden/>
          </w:rPr>
          <w:fldChar w:fldCharType="end"/>
        </w:r>
      </w:hyperlink>
    </w:p>
    <w:p w14:paraId="10DEA380" w14:textId="77777777" w:rsidR="00FC5892" w:rsidRDefault="004705CE">
      <w:pPr>
        <w:pStyle w:val="TOC2"/>
        <w:rPr>
          <w:rFonts w:asciiTheme="minorHAnsi" w:eastAsiaTheme="minorEastAsia" w:hAnsiTheme="minorHAnsi" w:cstheme="minorBidi"/>
          <w:bCs w:val="0"/>
          <w:lang w:eastAsia="en-AU"/>
        </w:rPr>
      </w:pPr>
      <w:hyperlink w:anchor="_Toc480381283" w:history="1">
        <w:r w:rsidR="00FC5892" w:rsidRPr="0097460F">
          <w:rPr>
            <w:rStyle w:val="Hyperlink"/>
            <w:noProof/>
          </w:rPr>
          <w:t>2.1</w:t>
        </w:r>
        <w:r w:rsidR="00FC5892">
          <w:rPr>
            <w:rFonts w:asciiTheme="minorHAnsi" w:eastAsiaTheme="minorEastAsia" w:hAnsiTheme="minorHAnsi" w:cstheme="minorBidi"/>
            <w:bCs w:val="0"/>
            <w:lang w:eastAsia="en-AU"/>
          </w:rPr>
          <w:tab/>
        </w:r>
        <w:r w:rsidR="00FC5892" w:rsidRPr="0097460F">
          <w:rPr>
            <w:rStyle w:val="Hyperlink"/>
            <w:noProof/>
          </w:rPr>
          <w:t>General areas of support</w:t>
        </w:r>
        <w:r w:rsidR="00FC5892">
          <w:rPr>
            <w:webHidden/>
          </w:rPr>
          <w:tab/>
        </w:r>
        <w:r w:rsidR="00FC5892">
          <w:rPr>
            <w:webHidden/>
          </w:rPr>
          <w:fldChar w:fldCharType="begin"/>
        </w:r>
        <w:r w:rsidR="00FC5892">
          <w:rPr>
            <w:webHidden/>
          </w:rPr>
          <w:instrText xml:space="preserve"> PAGEREF _Toc480381283 \h </w:instrText>
        </w:r>
        <w:r w:rsidR="00FC5892">
          <w:rPr>
            <w:webHidden/>
          </w:rPr>
        </w:r>
        <w:r w:rsidR="00FC5892">
          <w:rPr>
            <w:webHidden/>
          </w:rPr>
          <w:fldChar w:fldCharType="separate"/>
        </w:r>
        <w:r w:rsidR="006F2075">
          <w:rPr>
            <w:webHidden/>
          </w:rPr>
          <w:t>5</w:t>
        </w:r>
        <w:r w:rsidR="00FC5892">
          <w:rPr>
            <w:webHidden/>
          </w:rPr>
          <w:fldChar w:fldCharType="end"/>
        </w:r>
      </w:hyperlink>
    </w:p>
    <w:p w14:paraId="48330EA3" w14:textId="77777777" w:rsidR="00FC5892" w:rsidRDefault="004705CE">
      <w:pPr>
        <w:pStyle w:val="TOC2"/>
        <w:rPr>
          <w:rFonts w:asciiTheme="minorHAnsi" w:eastAsiaTheme="minorEastAsia" w:hAnsiTheme="minorHAnsi" w:cstheme="minorBidi"/>
          <w:bCs w:val="0"/>
          <w:lang w:eastAsia="en-AU"/>
        </w:rPr>
      </w:pPr>
      <w:hyperlink w:anchor="_Toc480381284" w:history="1">
        <w:r w:rsidR="00FC5892" w:rsidRPr="0097460F">
          <w:rPr>
            <w:rStyle w:val="Hyperlink"/>
            <w:noProof/>
          </w:rPr>
          <w:t>2.2</w:t>
        </w:r>
        <w:r w:rsidR="00FC5892">
          <w:rPr>
            <w:rFonts w:asciiTheme="minorHAnsi" w:eastAsiaTheme="minorEastAsia" w:hAnsiTheme="minorHAnsi" w:cstheme="minorBidi"/>
            <w:bCs w:val="0"/>
            <w:lang w:eastAsia="en-AU"/>
          </w:rPr>
          <w:tab/>
        </w:r>
        <w:r w:rsidR="00FC5892" w:rsidRPr="0097460F">
          <w:rPr>
            <w:rStyle w:val="Hyperlink"/>
            <w:noProof/>
          </w:rPr>
          <w:t>Areas of support specific to the NDIS context</w:t>
        </w:r>
        <w:r w:rsidR="00FC5892">
          <w:rPr>
            <w:webHidden/>
          </w:rPr>
          <w:tab/>
        </w:r>
        <w:r w:rsidR="00FC5892">
          <w:rPr>
            <w:webHidden/>
          </w:rPr>
          <w:fldChar w:fldCharType="begin"/>
        </w:r>
        <w:r w:rsidR="00FC5892">
          <w:rPr>
            <w:webHidden/>
          </w:rPr>
          <w:instrText xml:space="preserve"> PAGEREF _Toc480381284 \h </w:instrText>
        </w:r>
        <w:r w:rsidR="00FC5892">
          <w:rPr>
            <w:webHidden/>
          </w:rPr>
        </w:r>
        <w:r w:rsidR="00FC5892">
          <w:rPr>
            <w:webHidden/>
          </w:rPr>
          <w:fldChar w:fldCharType="separate"/>
        </w:r>
        <w:r w:rsidR="006F2075">
          <w:rPr>
            <w:webHidden/>
          </w:rPr>
          <w:t>6</w:t>
        </w:r>
        <w:r w:rsidR="00FC5892">
          <w:rPr>
            <w:webHidden/>
          </w:rPr>
          <w:fldChar w:fldCharType="end"/>
        </w:r>
      </w:hyperlink>
    </w:p>
    <w:p w14:paraId="69C55256" w14:textId="77777777" w:rsidR="00FC5892" w:rsidRDefault="004705CE">
      <w:pPr>
        <w:pStyle w:val="TOC1"/>
        <w:rPr>
          <w:rFonts w:asciiTheme="minorHAnsi" w:eastAsiaTheme="minorEastAsia" w:hAnsiTheme="minorHAnsi"/>
          <w:b w:val="0"/>
          <w:lang w:eastAsia="en-AU"/>
        </w:rPr>
      </w:pPr>
      <w:hyperlink w:anchor="_Toc480381285" w:history="1">
        <w:r w:rsidR="00FC5892" w:rsidRPr="0097460F">
          <w:rPr>
            <w:rStyle w:val="Hyperlink"/>
            <w:noProof/>
          </w:rPr>
          <w:t>3.</w:t>
        </w:r>
        <w:r w:rsidR="00FC5892">
          <w:rPr>
            <w:rFonts w:asciiTheme="minorHAnsi" w:eastAsiaTheme="minorEastAsia" w:hAnsiTheme="minorHAnsi"/>
            <w:b w:val="0"/>
            <w:lang w:eastAsia="en-AU"/>
          </w:rPr>
          <w:tab/>
        </w:r>
        <w:r w:rsidR="00FC5892" w:rsidRPr="0097460F">
          <w:rPr>
            <w:rStyle w:val="Hyperlink"/>
            <w:noProof/>
          </w:rPr>
          <w:t>Types of support and promising practices for delivery</w:t>
        </w:r>
        <w:r w:rsidR="00FC5892">
          <w:rPr>
            <w:webHidden/>
          </w:rPr>
          <w:tab/>
        </w:r>
        <w:r w:rsidR="00FC5892">
          <w:rPr>
            <w:webHidden/>
          </w:rPr>
          <w:fldChar w:fldCharType="begin"/>
        </w:r>
        <w:r w:rsidR="00FC5892">
          <w:rPr>
            <w:webHidden/>
          </w:rPr>
          <w:instrText xml:space="preserve"> PAGEREF _Toc480381285 \h </w:instrText>
        </w:r>
        <w:r w:rsidR="00FC5892">
          <w:rPr>
            <w:webHidden/>
          </w:rPr>
        </w:r>
        <w:r w:rsidR="00FC5892">
          <w:rPr>
            <w:webHidden/>
          </w:rPr>
          <w:fldChar w:fldCharType="separate"/>
        </w:r>
        <w:r w:rsidR="006F2075">
          <w:rPr>
            <w:webHidden/>
          </w:rPr>
          <w:t>8</w:t>
        </w:r>
        <w:r w:rsidR="00FC5892">
          <w:rPr>
            <w:webHidden/>
          </w:rPr>
          <w:fldChar w:fldCharType="end"/>
        </w:r>
      </w:hyperlink>
    </w:p>
    <w:p w14:paraId="51F4A640" w14:textId="77777777" w:rsidR="00FC5892" w:rsidRDefault="004705CE">
      <w:pPr>
        <w:pStyle w:val="TOC2"/>
        <w:rPr>
          <w:rFonts w:asciiTheme="minorHAnsi" w:eastAsiaTheme="minorEastAsia" w:hAnsiTheme="minorHAnsi" w:cstheme="minorBidi"/>
          <w:bCs w:val="0"/>
          <w:lang w:eastAsia="en-AU"/>
        </w:rPr>
      </w:pPr>
      <w:hyperlink w:anchor="_Toc480381286" w:history="1">
        <w:r w:rsidR="00FC5892" w:rsidRPr="0097460F">
          <w:rPr>
            <w:rStyle w:val="Hyperlink"/>
            <w:noProof/>
          </w:rPr>
          <w:t>3.1</w:t>
        </w:r>
        <w:r w:rsidR="00FC5892">
          <w:rPr>
            <w:rFonts w:asciiTheme="minorHAnsi" w:eastAsiaTheme="minorEastAsia" w:hAnsiTheme="minorHAnsi" w:cstheme="minorBidi"/>
            <w:bCs w:val="0"/>
            <w:lang w:eastAsia="en-AU"/>
          </w:rPr>
          <w:tab/>
        </w:r>
        <w:r w:rsidR="00FC5892" w:rsidRPr="0097460F">
          <w:rPr>
            <w:rStyle w:val="Hyperlink"/>
            <w:noProof/>
          </w:rPr>
          <w:t>Support to people with disability</w:t>
        </w:r>
        <w:r w:rsidR="00FC5892">
          <w:rPr>
            <w:webHidden/>
          </w:rPr>
          <w:tab/>
        </w:r>
        <w:r w:rsidR="00FC5892">
          <w:rPr>
            <w:webHidden/>
          </w:rPr>
          <w:fldChar w:fldCharType="begin"/>
        </w:r>
        <w:r w:rsidR="00FC5892">
          <w:rPr>
            <w:webHidden/>
          </w:rPr>
          <w:instrText xml:space="preserve"> PAGEREF _Toc480381286 \h </w:instrText>
        </w:r>
        <w:r w:rsidR="00FC5892">
          <w:rPr>
            <w:webHidden/>
          </w:rPr>
        </w:r>
        <w:r w:rsidR="00FC5892">
          <w:rPr>
            <w:webHidden/>
          </w:rPr>
          <w:fldChar w:fldCharType="separate"/>
        </w:r>
        <w:r w:rsidR="006F2075">
          <w:rPr>
            <w:webHidden/>
          </w:rPr>
          <w:t>8</w:t>
        </w:r>
        <w:r w:rsidR="00FC5892">
          <w:rPr>
            <w:webHidden/>
          </w:rPr>
          <w:fldChar w:fldCharType="end"/>
        </w:r>
      </w:hyperlink>
    </w:p>
    <w:p w14:paraId="319ACC81" w14:textId="77777777" w:rsidR="00FC5892" w:rsidRDefault="004705CE">
      <w:pPr>
        <w:pStyle w:val="TOC2"/>
        <w:rPr>
          <w:rFonts w:asciiTheme="minorHAnsi" w:eastAsiaTheme="minorEastAsia" w:hAnsiTheme="minorHAnsi" w:cstheme="minorBidi"/>
          <w:bCs w:val="0"/>
          <w:lang w:eastAsia="en-AU"/>
        </w:rPr>
      </w:pPr>
      <w:hyperlink w:anchor="_Toc480381287" w:history="1">
        <w:r w:rsidR="00FC5892" w:rsidRPr="0097460F">
          <w:rPr>
            <w:rStyle w:val="Hyperlink"/>
            <w:noProof/>
          </w:rPr>
          <w:t>3.2</w:t>
        </w:r>
        <w:r w:rsidR="00FC5892">
          <w:rPr>
            <w:rFonts w:asciiTheme="minorHAnsi" w:eastAsiaTheme="minorEastAsia" w:hAnsiTheme="minorHAnsi" w:cstheme="minorBidi"/>
            <w:bCs w:val="0"/>
            <w:lang w:eastAsia="en-AU"/>
          </w:rPr>
          <w:tab/>
        </w:r>
        <w:r w:rsidR="00FC5892" w:rsidRPr="0097460F">
          <w:rPr>
            <w:rStyle w:val="Hyperlink"/>
            <w:noProof/>
          </w:rPr>
          <w:t>Support to supporters and service providers</w:t>
        </w:r>
        <w:r w:rsidR="00FC5892">
          <w:rPr>
            <w:webHidden/>
          </w:rPr>
          <w:tab/>
        </w:r>
        <w:r w:rsidR="00FC5892">
          <w:rPr>
            <w:webHidden/>
          </w:rPr>
          <w:fldChar w:fldCharType="begin"/>
        </w:r>
        <w:r w:rsidR="00FC5892">
          <w:rPr>
            <w:webHidden/>
          </w:rPr>
          <w:instrText xml:space="preserve"> PAGEREF _Toc480381287 \h </w:instrText>
        </w:r>
        <w:r w:rsidR="00FC5892">
          <w:rPr>
            <w:webHidden/>
          </w:rPr>
        </w:r>
        <w:r w:rsidR="00FC5892">
          <w:rPr>
            <w:webHidden/>
          </w:rPr>
          <w:fldChar w:fldCharType="separate"/>
        </w:r>
        <w:r w:rsidR="006F2075">
          <w:rPr>
            <w:webHidden/>
          </w:rPr>
          <w:t>11</w:t>
        </w:r>
        <w:r w:rsidR="00FC5892">
          <w:rPr>
            <w:webHidden/>
          </w:rPr>
          <w:fldChar w:fldCharType="end"/>
        </w:r>
      </w:hyperlink>
    </w:p>
    <w:p w14:paraId="1AA42FE1" w14:textId="77777777" w:rsidR="00FC5892" w:rsidRDefault="004705CE">
      <w:pPr>
        <w:pStyle w:val="TOC1"/>
        <w:rPr>
          <w:rFonts w:asciiTheme="minorHAnsi" w:eastAsiaTheme="minorEastAsia" w:hAnsiTheme="minorHAnsi"/>
          <w:b w:val="0"/>
          <w:lang w:eastAsia="en-AU"/>
        </w:rPr>
      </w:pPr>
      <w:hyperlink w:anchor="_Toc480381288" w:history="1">
        <w:r w:rsidR="00FC5892" w:rsidRPr="0097460F">
          <w:rPr>
            <w:rStyle w:val="Hyperlink"/>
            <w:noProof/>
          </w:rPr>
          <w:t>4.</w:t>
        </w:r>
        <w:r w:rsidR="00FC5892">
          <w:rPr>
            <w:rFonts w:asciiTheme="minorHAnsi" w:eastAsiaTheme="minorEastAsia" w:hAnsiTheme="minorHAnsi"/>
            <w:b w:val="0"/>
            <w:lang w:eastAsia="en-AU"/>
          </w:rPr>
          <w:tab/>
        </w:r>
        <w:r w:rsidR="00FC5892" w:rsidRPr="0097460F">
          <w:rPr>
            <w:rStyle w:val="Hyperlink"/>
            <w:noProof/>
          </w:rPr>
          <w:t>Sources of support</w:t>
        </w:r>
        <w:r w:rsidR="00FC5892">
          <w:rPr>
            <w:webHidden/>
          </w:rPr>
          <w:tab/>
        </w:r>
        <w:r w:rsidR="00FC5892">
          <w:rPr>
            <w:webHidden/>
          </w:rPr>
          <w:fldChar w:fldCharType="begin"/>
        </w:r>
        <w:r w:rsidR="00FC5892">
          <w:rPr>
            <w:webHidden/>
          </w:rPr>
          <w:instrText xml:space="preserve"> PAGEREF _Toc480381288 \h </w:instrText>
        </w:r>
        <w:r w:rsidR="00FC5892">
          <w:rPr>
            <w:webHidden/>
          </w:rPr>
        </w:r>
        <w:r w:rsidR="00FC5892">
          <w:rPr>
            <w:webHidden/>
          </w:rPr>
          <w:fldChar w:fldCharType="separate"/>
        </w:r>
        <w:r w:rsidR="006F2075">
          <w:rPr>
            <w:webHidden/>
          </w:rPr>
          <w:t>13</w:t>
        </w:r>
        <w:r w:rsidR="00FC5892">
          <w:rPr>
            <w:webHidden/>
          </w:rPr>
          <w:fldChar w:fldCharType="end"/>
        </w:r>
      </w:hyperlink>
    </w:p>
    <w:p w14:paraId="27CD9B5D" w14:textId="77777777" w:rsidR="00FC5892" w:rsidRDefault="004705CE">
      <w:pPr>
        <w:pStyle w:val="TOC1"/>
        <w:rPr>
          <w:rFonts w:asciiTheme="minorHAnsi" w:eastAsiaTheme="minorEastAsia" w:hAnsiTheme="minorHAnsi"/>
          <w:b w:val="0"/>
          <w:lang w:eastAsia="en-AU"/>
        </w:rPr>
      </w:pPr>
      <w:hyperlink w:anchor="_Toc480381289" w:history="1">
        <w:r w:rsidR="00FC5892" w:rsidRPr="0097460F">
          <w:rPr>
            <w:rStyle w:val="Hyperlink"/>
            <w:noProof/>
          </w:rPr>
          <w:t>5.</w:t>
        </w:r>
        <w:r w:rsidR="00FC5892">
          <w:rPr>
            <w:rFonts w:asciiTheme="minorHAnsi" w:eastAsiaTheme="minorEastAsia" w:hAnsiTheme="minorHAnsi"/>
            <w:b w:val="0"/>
            <w:lang w:eastAsia="en-AU"/>
          </w:rPr>
          <w:tab/>
        </w:r>
        <w:r w:rsidR="00FC5892" w:rsidRPr="0097460F">
          <w:rPr>
            <w:rStyle w:val="Hyperlink"/>
            <w:noProof/>
          </w:rPr>
          <w:t>Experiences of different groups</w:t>
        </w:r>
        <w:r w:rsidR="00FC5892">
          <w:rPr>
            <w:webHidden/>
          </w:rPr>
          <w:tab/>
        </w:r>
        <w:r w:rsidR="00FC5892">
          <w:rPr>
            <w:webHidden/>
          </w:rPr>
          <w:fldChar w:fldCharType="begin"/>
        </w:r>
        <w:r w:rsidR="00FC5892">
          <w:rPr>
            <w:webHidden/>
          </w:rPr>
          <w:instrText xml:space="preserve"> PAGEREF _Toc480381289 \h </w:instrText>
        </w:r>
        <w:r w:rsidR="00FC5892">
          <w:rPr>
            <w:webHidden/>
          </w:rPr>
        </w:r>
        <w:r w:rsidR="00FC5892">
          <w:rPr>
            <w:webHidden/>
          </w:rPr>
          <w:fldChar w:fldCharType="separate"/>
        </w:r>
        <w:r w:rsidR="006F2075">
          <w:rPr>
            <w:webHidden/>
          </w:rPr>
          <w:t>15</w:t>
        </w:r>
        <w:r w:rsidR="00FC5892">
          <w:rPr>
            <w:webHidden/>
          </w:rPr>
          <w:fldChar w:fldCharType="end"/>
        </w:r>
      </w:hyperlink>
    </w:p>
    <w:p w14:paraId="15CE0359" w14:textId="77777777" w:rsidR="00FC5892" w:rsidRDefault="004705CE">
      <w:pPr>
        <w:pStyle w:val="TOC1"/>
        <w:rPr>
          <w:rFonts w:asciiTheme="minorHAnsi" w:eastAsiaTheme="minorEastAsia" w:hAnsiTheme="minorHAnsi"/>
          <w:b w:val="0"/>
          <w:lang w:eastAsia="en-AU"/>
        </w:rPr>
      </w:pPr>
      <w:hyperlink w:anchor="_Toc480381290" w:history="1">
        <w:r w:rsidR="00FC5892" w:rsidRPr="0097460F">
          <w:rPr>
            <w:rStyle w:val="Hyperlink"/>
            <w:noProof/>
          </w:rPr>
          <w:t>6.</w:t>
        </w:r>
        <w:r w:rsidR="00FC5892">
          <w:rPr>
            <w:rFonts w:asciiTheme="minorHAnsi" w:eastAsiaTheme="minorEastAsia" w:hAnsiTheme="minorHAnsi"/>
            <w:b w:val="0"/>
            <w:lang w:eastAsia="en-AU"/>
          </w:rPr>
          <w:tab/>
        </w:r>
        <w:r w:rsidR="00FC5892" w:rsidRPr="0097460F">
          <w:rPr>
            <w:rStyle w:val="Hyperlink"/>
            <w:noProof/>
          </w:rPr>
          <w:t>Implications for Skilled to Thrive action research project</w:t>
        </w:r>
        <w:r w:rsidR="00FC5892">
          <w:rPr>
            <w:webHidden/>
          </w:rPr>
          <w:tab/>
        </w:r>
        <w:r w:rsidR="00FC5892">
          <w:rPr>
            <w:webHidden/>
          </w:rPr>
          <w:fldChar w:fldCharType="begin"/>
        </w:r>
        <w:r w:rsidR="00FC5892">
          <w:rPr>
            <w:webHidden/>
          </w:rPr>
          <w:instrText xml:space="preserve"> PAGEREF _Toc480381290 \h </w:instrText>
        </w:r>
        <w:r w:rsidR="00FC5892">
          <w:rPr>
            <w:webHidden/>
          </w:rPr>
        </w:r>
        <w:r w:rsidR="00FC5892">
          <w:rPr>
            <w:webHidden/>
          </w:rPr>
          <w:fldChar w:fldCharType="separate"/>
        </w:r>
        <w:r w:rsidR="006F2075">
          <w:rPr>
            <w:webHidden/>
          </w:rPr>
          <w:t>17</w:t>
        </w:r>
        <w:r w:rsidR="00FC5892">
          <w:rPr>
            <w:webHidden/>
          </w:rPr>
          <w:fldChar w:fldCharType="end"/>
        </w:r>
      </w:hyperlink>
    </w:p>
    <w:p w14:paraId="1B632887" w14:textId="77777777" w:rsidR="00FC5892" w:rsidRDefault="004705CE">
      <w:pPr>
        <w:pStyle w:val="TOC1"/>
        <w:rPr>
          <w:rFonts w:asciiTheme="minorHAnsi" w:eastAsiaTheme="minorEastAsia" w:hAnsiTheme="minorHAnsi"/>
          <w:b w:val="0"/>
          <w:lang w:eastAsia="en-AU"/>
        </w:rPr>
      </w:pPr>
      <w:hyperlink w:anchor="_Toc480381291" w:history="1">
        <w:r w:rsidR="00FC5892" w:rsidRPr="0097460F">
          <w:rPr>
            <w:rStyle w:val="Hyperlink"/>
            <w:noProof/>
          </w:rPr>
          <w:t>7.</w:t>
        </w:r>
        <w:r w:rsidR="00FC5892">
          <w:rPr>
            <w:rFonts w:asciiTheme="minorHAnsi" w:eastAsiaTheme="minorEastAsia" w:hAnsiTheme="minorHAnsi"/>
            <w:b w:val="0"/>
            <w:lang w:eastAsia="en-AU"/>
          </w:rPr>
          <w:tab/>
        </w:r>
        <w:r w:rsidR="00FC5892" w:rsidRPr="0097460F">
          <w:rPr>
            <w:rStyle w:val="Hyperlink"/>
            <w:noProof/>
          </w:rPr>
          <w:t>Conclusions</w:t>
        </w:r>
        <w:r w:rsidR="00FC5892">
          <w:rPr>
            <w:webHidden/>
          </w:rPr>
          <w:tab/>
        </w:r>
        <w:r w:rsidR="00FC5892">
          <w:rPr>
            <w:webHidden/>
          </w:rPr>
          <w:fldChar w:fldCharType="begin"/>
        </w:r>
        <w:r w:rsidR="00FC5892">
          <w:rPr>
            <w:webHidden/>
          </w:rPr>
          <w:instrText xml:space="preserve"> PAGEREF _Toc480381291 \h </w:instrText>
        </w:r>
        <w:r w:rsidR="00FC5892">
          <w:rPr>
            <w:webHidden/>
          </w:rPr>
        </w:r>
        <w:r w:rsidR="00FC5892">
          <w:rPr>
            <w:webHidden/>
          </w:rPr>
          <w:fldChar w:fldCharType="separate"/>
        </w:r>
        <w:r w:rsidR="006F2075">
          <w:rPr>
            <w:webHidden/>
          </w:rPr>
          <w:t>20</w:t>
        </w:r>
        <w:r w:rsidR="00FC5892">
          <w:rPr>
            <w:webHidden/>
          </w:rPr>
          <w:fldChar w:fldCharType="end"/>
        </w:r>
      </w:hyperlink>
    </w:p>
    <w:p w14:paraId="4616898D" w14:textId="77777777" w:rsidR="00FC5892" w:rsidRDefault="004705CE">
      <w:pPr>
        <w:pStyle w:val="TOC1"/>
        <w:rPr>
          <w:rFonts w:asciiTheme="minorHAnsi" w:eastAsiaTheme="minorEastAsia" w:hAnsiTheme="minorHAnsi"/>
          <w:b w:val="0"/>
          <w:lang w:eastAsia="en-AU"/>
        </w:rPr>
      </w:pPr>
      <w:hyperlink w:anchor="_Toc480381292" w:history="1">
        <w:r w:rsidR="00FC5892" w:rsidRPr="0097460F">
          <w:rPr>
            <w:rStyle w:val="Hyperlink"/>
            <w:noProof/>
          </w:rPr>
          <w:t>References</w:t>
        </w:r>
        <w:r w:rsidR="00FC5892">
          <w:rPr>
            <w:webHidden/>
          </w:rPr>
          <w:tab/>
        </w:r>
        <w:r w:rsidR="00FC5892">
          <w:rPr>
            <w:webHidden/>
          </w:rPr>
          <w:fldChar w:fldCharType="begin"/>
        </w:r>
        <w:r w:rsidR="00FC5892">
          <w:rPr>
            <w:webHidden/>
          </w:rPr>
          <w:instrText xml:space="preserve"> PAGEREF _Toc480381292 \h </w:instrText>
        </w:r>
        <w:r w:rsidR="00FC5892">
          <w:rPr>
            <w:webHidden/>
          </w:rPr>
        </w:r>
        <w:r w:rsidR="00FC5892">
          <w:rPr>
            <w:webHidden/>
          </w:rPr>
          <w:fldChar w:fldCharType="separate"/>
        </w:r>
        <w:r w:rsidR="006F2075">
          <w:rPr>
            <w:webHidden/>
          </w:rPr>
          <w:t>22</w:t>
        </w:r>
        <w:r w:rsidR="00FC5892">
          <w:rPr>
            <w:webHidden/>
          </w:rPr>
          <w:fldChar w:fldCharType="end"/>
        </w:r>
      </w:hyperlink>
    </w:p>
    <w:p w14:paraId="69A7BD23" w14:textId="77777777" w:rsidR="00397AEE" w:rsidRDefault="003F476F">
      <w:pPr>
        <w:numPr>
          <w:ilvl w:val="0"/>
          <w:numId w:val="0"/>
        </w:numPr>
        <w:tabs>
          <w:tab w:val="clear" w:pos="357"/>
        </w:tabs>
        <w:rPr>
          <w:sz w:val="20"/>
        </w:rPr>
      </w:pPr>
      <w:r>
        <w:rPr>
          <w:b/>
          <w:noProof/>
          <w:sz w:val="20"/>
        </w:rPr>
        <w:fldChar w:fldCharType="end"/>
      </w:r>
    </w:p>
    <w:p w14:paraId="630FDC87" w14:textId="77777777" w:rsidR="00397AEE" w:rsidRDefault="00397AEE">
      <w:pPr>
        <w:numPr>
          <w:ilvl w:val="0"/>
          <w:numId w:val="0"/>
        </w:numPr>
        <w:tabs>
          <w:tab w:val="clear" w:pos="357"/>
        </w:tabs>
      </w:pPr>
      <w:r>
        <w:br w:type="page"/>
      </w:r>
    </w:p>
    <w:p w14:paraId="728C07B3" w14:textId="77777777" w:rsidR="001E7528" w:rsidRDefault="001E7528" w:rsidP="00DC6AA6">
      <w:pPr>
        <w:numPr>
          <w:ilvl w:val="0"/>
          <w:numId w:val="0"/>
        </w:numPr>
        <w:sectPr w:rsidR="001E7528" w:rsidSect="00876D1C">
          <w:footerReference w:type="default" r:id="rId16"/>
          <w:pgSz w:w="11906" w:h="16838" w:code="9"/>
          <w:pgMar w:top="1418" w:right="1134" w:bottom="1134" w:left="1134" w:header="680" w:footer="284" w:gutter="0"/>
          <w:pgNumType w:fmt="lowerRoman" w:start="1"/>
          <w:cols w:space="708"/>
          <w:docGrid w:linePitch="360"/>
        </w:sectPr>
      </w:pPr>
    </w:p>
    <w:p w14:paraId="01104402" w14:textId="77777777" w:rsidR="003F476F" w:rsidRDefault="008C7A2C" w:rsidP="002E21D6">
      <w:pPr>
        <w:pStyle w:val="Heading1"/>
        <w:numPr>
          <w:ilvl w:val="0"/>
          <w:numId w:val="0"/>
        </w:numPr>
        <w:ind w:left="720" w:hanging="720"/>
      </w:pPr>
      <w:bookmarkStart w:id="2" w:name="_Toc480381279"/>
      <w:r>
        <w:lastRenderedPageBreak/>
        <w:t>Preface</w:t>
      </w:r>
      <w:bookmarkEnd w:id="2"/>
    </w:p>
    <w:p w14:paraId="680DBC71" w14:textId="77777777" w:rsidR="008C7A2C" w:rsidRDefault="008C7A2C" w:rsidP="008C7A2C">
      <w:pPr>
        <w:numPr>
          <w:ilvl w:val="0"/>
          <w:numId w:val="15"/>
        </w:numPr>
      </w:pPr>
      <w:r>
        <w:t>The NSW Council of Social Service (NCOSS) is undertaking an action research project to develop (1) a practice model of delivering supported decision-making with a safeguarding focus for people with disability and (2) organisational capacity to provide best practice individual safeguarding support to a diverse range of people with disability. The Social Policy Research Centre (SPRC) has been commissioned to provide research advice, training and action research practice support to NCOSS.</w:t>
      </w:r>
    </w:p>
    <w:p w14:paraId="72033256" w14:textId="77777777" w:rsidR="008C7A2C" w:rsidRDefault="008C7A2C" w:rsidP="008C7A2C">
      <w:pPr>
        <w:numPr>
          <w:ilvl w:val="0"/>
          <w:numId w:val="15"/>
        </w:numPr>
      </w:pPr>
      <w:r>
        <w:t xml:space="preserve">The project seeks to explore a series of issues, focused around three major research questions: </w:t>
      </w:r>
    </w:p>
    <w:p w14:paraId="7FAEF923" w14:textId="77777777" w:rsidR="008C7A2C" w:rsidRPr="008C7A2C" w:rsidRDefault="008C7A2C" w:rsidP="002E21D6">
      <w:pPr>
        <w:pStyle w:val="ListNumber"/>
      </w:pPr>
      <w:r w:rsidRPr="008C7A2C">
        <w:t xml:space="preserve">What support do people with disability commonly seek to make decisions that promote personal safety and prevent harm?  </w:t>
      </w:r>
    </w:p>
    <w:p w14:paraId="7698A321" w14:textId="77777777" w:rsidR="008C7A2C" w:rsidRPr="008C7A2C" w:rsidRDefault="008C7A2C" w:rsidP="002E21D6">
      <w:pPr>
        <w:pStyle w:val="ListNumber"/>
      </w:pPr>
      <w:r w:rsidRPr="008C7A2C">
        <w:t>What practices are effective to deliver support to make decisions that promote personal safety and prevent harm that is responsive to people’s needs (including gender, living circumstances, location, Indigeneity, cultural diversity and others)?</w:t>
      </w:r>
    </w:p>
    <w:p w14:paraId="58B72D16" w14:textId="77777777" w:rsidR="008C7A2C" w:rsidRPr="008C7A2C" w:rsidRDefault="008C7A2C" w:rsidP="002E21D6">
      <w:pPr>
        <w:pStyle w:val="ListNumber"/>
      </w:pPr>
      <w:r w:rsidRPr="008C7A2C">
        <w:t>What practices are effective to develop organisational capacity to provide support to make decisions that promote personal safety and prevent harm to a range of people from different backgrounds and with diverse needs?</w:t>
      </w:r>
    </w:p>
    <w:p w14:paraId="064987D4" w14:textId="77777777" w:rsidR="008C7A2C" w:rsidRPr="008C7A2C" w:rsidRDefault="008C7A2C" w:rsidP="008C7A2C">
      <w:pPr>
        <w:numPr>
          <w:ilvl w:val="0"/>
          <w:numId w:val="15"/>
        </w:numPr>
      </w:pPr>
      <w:r w:rsidRPr="008C7A2C">
        <w:t>This document details a literature and practice review undertaken to synthesise information from existing academic and practice evidence to inform the approach of the project. It is published in order to assist with other research and practice development on this topic.</w:t>
      </w:r>
    </w:p>
    <w:p w14:paraId="4DEC7388" w14:textId="77777777" w:rsidR="008C7A2C" w:rsidRPr="008C7A2C" w:rsidRDefault="008C7A2C" w:rsidP="00534A20">
      <w:pPr>
        <w:pStyle w:val="SubHeading"/>
      </w:pPr>
      <w:r w:rsidRPr="008C7A2C">
        <w:t>Method</w:t>
      </w:r>
    </w:p>
    <w:p w14:paraId="031905FF" w14:textId="77777777" w:rsidR="008C7A2C" w:rsidRPr="008C7A2C" w:rsidRDefault="008C7A2C" w:rsidP="008C7A2C">
      <w:pPr>
        <w:numPr>
          <w:ilvl w:val="0"/>
          <w:numId w:val="15"/>
        </w:numPr>
      </w:pPr>
      <w:r w:rsidRPr="008C7A2C">
        <w:t xml:space="preserve">The literature review was a search of academic journals. It was conducted by SPRC using combinations of search terms about safeguarding (i.e. ‘safeguarding’, ‘risk’, ‘harm’), supported decision-making (i.e. ‘decision support’, ‘supported decision-making’, ‘capacity building’), the current policy context of the roll out of the National Disability Insurance Scheme (i.e. ‘personalisation’, ‘individual budgets’) and social context (e.g. ‘social inclusion’, ‘relationships’). These terms were searched in conjunction with the terms ‘disability’ and ‘intellectual disability’. </w:t>
      </w:r>
    </w:p>
    <w:p w14:paraId="7207B617" w14:textId="77777777" w:rsidR="008C7A2C" w:rsidRPr="004A15D6" w:rsidRDefault="008C7A2C" w:rsidP="008C7A2C">
      <w:pPr>
        <w:numPr>
          <w:ilvl w:val="0"/>
          <w:numId w:val="15"/>
        </w:numPr>
      </w:pPr>
      <w:r w:rsidRPr="00EE73DB">
        <w:t>The practice review draws on ex</w:t>
      </w:r>
      <w:r>
        <w:t>periences in supported decision-</w:t>
      </w:r>
      <w:r w:rsidRPr="00EE73DB">
        <w:t>making projects run through Ageing Disability and Home Care (ADHC) and the Department of Family and Community Services (FACS)</w:t>
      </w:r>
      <w:r>
        <w:t xml:space="preserve"> NSW</w:t>
      </w:r>
      <w:r w:rsidRPr="00EE73DB">
        <w:t xml:space="preserve">. </w:t>
      </w:r>
      <w:r w:rsidRPr="008C7A2C">
        <w:t xml:space="preserve">NCOSS staff conducted the practice review, gathering and analysing information drawn from participation in the NSW Supported Decision Making Community of Practice, publicly available resources, consultations with project staff, conference presentations and prior experience in leadership of one of the projects in the review. </w:t>
      </w:r>
      <w:r w:rsidRPr="00EE73DB">
        <w:t>As none of the</w:t>
      </w:r>
      <w:r>
        <w:t xml:space="preserve"> reviewed</w:t>
      </w:r>
      <w:r w:rsidRPr="00EE73DB">
        <w:t xml:space="preserve"> projects have yet released formal evaluations, the </w:t>
      </w:r>
      <w:r>
        <w:t xml:space="preserve">practice </w:t>
      </w:r>
      <w:r w:rsidRPr="00EE73DB">
        <w:t xml:space="preserve">review is supported by </w:t>
      </w:r>
      <w:r>
        <w:t>the</w:t>
      </w:r>
      <w:r w:rsidRPr="00EE73DB">
        <w:t xml:space="preserve"> academic literature review on the research topics to bring together both existing evidence and promising practice.</w:t>
      </w:r>
    </w:p>
    <w:p w14:paraId="2CE181E0" w14:textId="77777777" w:rsidR="00990EF1" w:rsidRDefault="00990EF1" w:rsidP="00990EF1"/>
    <w:p w14:paraId="62403FF8" w14:textId="77777777" w:rsidR="003F476F" w:rsidRDefault="003F476F" w:rsidP="00DC6AA6">
      <w:pPr>
        <w:pStyle w:val="Heading1"/>
      </w:pPr>
      <w:bookmarkStart w:id="3" w:name="_Toc480381280"/>
      <w:r>
        <w:lastRenderedPageBreak/>
        <w:t>Introduction</w:t>
      </w:r>
      <w:bookmarkEnd w:id="3"/>
    </w:p>
    <w:p w14:paraId="55E305E1" w14:textId="77777777" w:rsidR="002E21D6" w:rsidRPr="005A1AF5" w:rsidRDefault="002E21D6" w:rsidP="002E21D6">
      <w:pPr>
        <w:numPr>
          <w:ilvl w:val="0"/>
          <w:numId w:val="15"/>
        </w:numPr>
      </w:pPr>
      <w:r w:rsidRPr="002E21D6">
        <w:t xml:space="preserve">As Australia moves towards the full implementation of the National Disability Insurance Scheme (NDIS), supporting people with disability to make decisions that promote personal safety and prevent harm is important. This can include people with a range of different types of disability, particularly those who may have missed out on opportunities to develop their decision-making skills.  In Australia, people with disability experience violence, abuse and neglect at higher rates than the general population </w:t>
      </w:r>
      <w:r w:rsidRPr="002E21D6">
        <w:fldChar w:fldCharType="begin"/>
      </w:r>
      <w:r w:rsidRPr="002E21D6">
        <w:instrText xml:space="preserve"> ADDIN EN.CITE &lt;EndNote&gt;&lt;Cite&gt;&lt;Author&gt;Robinson&lt;/Author&gt;&lt;Year&gt;2015&lt;/Year&gt;&lt;RecNum&gt;1&lt;/RecNum&gt;&lt;DisplayText&gt;(Robinson, 2015b, Reeve et al., 2016)&lt;/DisplayText&gt;&lt;record&gt;&lt;rec-number&gt;1&lt;/rec-number&gt;&lt;foreign-keys&gt;&lt;key app="EN" db-id="e2pvpettoe5ddver2zlpspd00avfvwwf99z5"&gt;1&lt;/key&gt;&lt;/foreign-keys&gt;&lt;ref-type name="Journal Article"&gt;17&lt;/ref-type&gt;&lt;contributors&gt;&lt;authors&gt;&lt;author&gt;Robinson, Sally&lt;/author&gt;&lt;/authors&gt;&lt;/contributors&gt;&lt;titles&gt;&lt;title&gt;Preventing abuse of children and young people with disability under the National Disability Insurance Scheme: a Brave new world?&lt;/title&gt;&lt;secondary-title&gt;Australian Social Work&lt;/secondary-title&gt;&lt;/titles&gt;&lt;periodical&gt;&lt;full-title&gt;Australian Social Work&lt;/full-title&gt;&lt;/periodical&gt;&lt;pages&gt;469-482&lt;/pages&gt;&lt;volume&gt;68&lt;/volume&gt;&lt;number&gt;4&lt;/number&gt;&lt;dates&gt;&lt;year&gt;2015&lt;/year&gt;&lt;/dates&gt;&lt;isbn&gt;0312-407X&lt;/isbn&gt;&lt;urls&gt;&lt;/urls&gt;&lt;/record&gt;&lt;/Cite&gt;&lt;Cite&gt;&lt;Author&gt;Reeve&lt;/Author&gt;&lt;Year&gt;2016&lt;/Year&gt;&lt;RecNum&gt;1458&lt;/RecNum&gt;&lt;record&gt;&lt;rec-number&gt;1458&lt;/rec-number&gt;&lt;foreign-keys&gt;&lt;key app="EN" db-id="t59p229xk29s08e5pe15dt5xz2ewpervfzpz" timestamp="1486618195"&gt;1458&lt;/key&gt;&lt;/foreign-keys&gt;&lt;ref-type name="Report"&gt;27&lt;/ref-type&gt;&lt;contributors&gt;&lt;authors&gt;&lt;author&gt;Reeve, R. &lt;/author&gt;&lt;author&gt;Marjolin, A.&lt;/author&gt;&lt;author&gt;Muir, K. &lt;/author&gt;&lt;author&gt;Powell, A.&lt;/author&gt;&lt;author&gt;Hannigan, N.&lt;/author&gt;&lt;author&gt;Ramia, I.&lt;/author&gt;&lt;author&gt;Etuk, L. (eds)&lt;/author&gt;&lt;/authors&gt;&lt;/contributors&gt;&lt;titles&gt;&lt;title&gt;Australia&amp;apos;s Social Pulse&lt;/title&gt;&lt;/titles&gt;&lt;dates&gt;&lt;year&gt;2016&lt;/year&gt;&lt;/dates&gt;&lt;pub-location&gt;Centre for Social Impact: UNSW Australia, Sydney and UWA, Perth.&lt;/pub-location&gt;&lt;urls&gt;&lt;/urls&gt;&lt;/record&gt;&lt;/Cite&gt;&lt;/EndNote&gt;</w:instrText>
      </w:r>
      <w:r w:rsidRPr="002E21D6">
        <w:fldChar w:fldCharType="separate"/>
      </w:r>
      <w:r w:rsidRPr="002E21D6">
        <w:t>(</w:t>
      </w:r>
      <w:hyperlink w:anchor="_ENREF_51" w:tooltip="Robinson, 2015 #1" w:history="1">
        <w:r w:rsidRPr="002E21D6">
          <w:t>Robinson, 2015b</w:t>
        </w:r>
      </w:hyperlink>
      <w:r w:rsidRPr="002E21D6">
        <w:t xml:space="preserve">, </w:t>
      </w:r>
      <w:hyperlink w:anchor="_ENREF_46" w:tooltip="Reeve, 2016 #1458" w:history="1">
        <w:r w:rsidRPr="002E21D6">
          <w:t>Reeve et al., 2016</w:t>
        </w:r>
      </w:hyperlink>
      <w:r w:rsidRPr="002E21D6">
        <w:t>)</w:t>
      </w:r>
      <w:r w:rsidRPr="002E21D6">
        <w:fldChar w:fldCharType="end"/>
      </w:r>
      <w:r w:rsidRPr="002E21D6">
        <w:t xml:space="preserve">, which significantly detracts from their quality of life </w:t>
      </w:r>
      <w:r w:rsidRPr="002E21D6">
        <w:fldChar w:fldCharType="begin"/>
      </w:r>
      <w:r w:rsidRPr="002E21D6">
        <w:instrText xml:space="preserve"> ADDIN EN.CITE &lt;EndNote&gt;&lt;Cite&gt;&lt;Author&gt;Brown&lt;/Author&gt;&lt;Year&gt;2014&lt;/Year&gt;&lt;RecNum&gt;33&lt;/RecNum&gt;&lt;DisplayText&gt;(Brown and Schormans, 2014)&lt;/DisplayText&gt;&lt;record&gt;&lt;rec-number&gt;33&lt;/rec-number&gt;&lt;foreign-keys&gt;&lt;key app="EN" db-id="e2pvpettoe5ddver2zlpspd00avfvwwf99z5"&gt;33&lt;/key&gt;&lt;/foreign-keys&gt;&lt;ref-type name="Journal Article"&gt;17&lt;/ref-type&gt;&lt;contributors&gt;&lt;authors&gt;&lt;author&gt;Brown, Ivan&lt;/author&gt;&lt;author&gt;Schormans, Ann Fudge&lt;/author&gt;&lt;/authors&gt;&lt;/contributors&gt;&lt;titles&gt;&lt;title&gt;Quality of life, children with intellectual and developmental disabilities, and maltreatment&lt;/title&gt;&lt;secondary-title&gt;International Public Health Journal&lt;/secondary-title&gt;&lt;/titles&gt;&lt;periodical&gt;&lt;full-title&gt;International Public Health Journal&lt;/full-title&gt;&lt;/periodical&gt;&lt;pages&gt;185&lt;/pages&gt;&lt;volume&gt;6&lt;/volume&gt;&lt;number&gt;2&lt;/number&gt;&lt;dates&gt;&lt;year&gt;2014&lt;/year&gt;&lt;/dates&gt;&lt;isbn&gt;1947-4989&lt;/isbn&gt;&lt;urls&gt;&lt;/urls&gt;&lt;/record&gt;&lt;/Cite&gt;&lt;/EndNote&gt;</w:instrText>
      </w:r>
      <w:r w:rsidRPr="002E21D6">
        <w:fldChar w:fldCharType="separate"/>
      </w:r>
      <w:r w:rsidRPr="002E21D6">
        <w:t>(</w:t>
      </w:r>
      <w:hyperlink w:anchor="_ENREF_5" w:tooltip="Brown, 2014 #33" w:history="1">
        <w:r w:rsidRPr="002E21D6">
          <w:t>Brown and Schormans, 2014</w:t>
        </w:r>
      </w:hyperlink>
      <w:r w:rsidRPr="002E21D6">
        <w:t>)</w:t>
      </w:r>
      <w:r w:rsidRPr="002E21D6">
        <w:fldChar w:fldCharType="end"/>
      </w:r>
      <w:r w:rsidRPr="002E21D6">
        <w:t xml:space="preserve">. </w:t>
      </w:r>
      <w:r>
        <w:t xml:space="preserve">There are also </w:t>
      </w:r>
      <w:r w:rsidRPr="00D12B9B">
        <w:t xml:space="preserve">a series of factors </w:t>
      </w:r>
      <w:r>
        <w:t xml:space="preserve">that </w:t>
      </w:r>
      <w:r w:rsidRPr="00D12B9B">
        <w:t xml:space="preserve">negatively impact the likelihood of people </w:t>
      </w:r>
      <w:r>
        <w:t>with disability</w:t>
      </w:r>
      <w:r w:rsidRPr="00D12B9B">
        <w:t xml:space="preserve"> receiving effective and timely support if they </w:t>
      </w:r>
      <w:r>
        <w:t xml:space="preserve">do </w:t>
      </w:r>
      <w:r w:rsidRPr="00D12B9B">
        <w:t>experience abuse. This includes a reluctance to believe the high rates of abuse experienced by people with disability among professiona</w:t>
      </w:r>
      <w:r>
        <w:t>ls, pathologising of disability,</w:t>
      </w:r>
      <w:r w:rsidRPr="00D12B9B">
        <w:t xml:space="preserve"> disbelief of their accounts and a lack of skill in providing appropriate support</w:t>
      </w:r>
      <w:r>
        <w:t xml:space="preserve"> </w:t>
      </w:r>
      <w:r>
        <w:fldChar w:fldCharType="begin"/>
      </w:r>
      <w:r>
        <w:instrText xml:space="preserve"> ADDIN EN.CITE &lt;EndNote&gt;&lt;Cite&gt;&lt;Author&gt;Manders&lt;/Author&gt;&lt;Year&gt;2009&lt;/Year&gt;&lt;RecNum&gt;63&lt;/RecNum&gt;&lt;DisplayText&gt;(Manders and Stoneman, 2009, Mepham, 2010)&lt;/DisplayText&gt;&lt;record&gt;&lt;rec-number&gt;63&lt;/rec-number&gt;&lt;foreign-keys&gt;&lt;key app="EN" db-id="e2pvpettoe5ddver2zlpspd00avfvwwf99z5"&gt;63&lt;/key&gt;&lt;/foreign-keys&gt;&lt;ref-type name="Journal Article"&gt;17&lt;/ref-type&gt;&lt;contributors&gt;&lt;authors&gt;&lt;author&gt;Manders, Jeanette E&lt;/author&gt;&lt;author&gt;Stoneman, Zolinda&lt;/author&gt;&lt;/authors&gt;&lt;/contributors&gt;&lt;titles&gt;&lt;title&gt;Children with disabilities in the child protective services system: An analog study of investigation and case management&lt;/title&gt;&lt;secondary-title&gt;Child abuse &amp;amp; neglect&lt;/secondary-title&gt;&lt;/titles&gt;&lt;periodical&gt;&lt;full-title&gt;Child abuse &amp;amp; neglect&lt;/full-title&gt;&lt;/periodical&gt;&lt;pages&gt;229-237&lt;/pages&gt;&lt;volume&gt;33&lt;/volume&gt;&lt;number&gt;4&lt;/number&gt;&lt;dates&gt;&lt;year&gt;2009&lt;/year&gt;&lt;/dates&gt;&lt;isbn&gt;0145-2134&lt;/isbn&gt;&lt;urls&gt;&lt;/urls&gt;&lt;/record&gt;&lt;/Cite&gt;&lt;Cite&gt;&lt;Author&gt;Mepham&lt;/Author&gt;&lt;Year&gt;2010&lt;/Year&gt;&lt;RecNum&gt;64&lt;/RecNum&gt;&lt;record&gt;&lt;rec-number&gt;64&lt;/rec-number&gt;&lt;foreign-keys&gt;&lt;key app="EN" db-id="e2pvpettoe5ddver2zlpspd00avfvwwf99z5"&gt;64&lt;/key&gt;&lt;/foreign-keys&gt;&lt;ref-type name="Journal Article"&gt;17&lt;/ref-type&gt;&lt;contributors&gt;&lt;authors&gt;&lt;author&gt;Mepham, Sarah&lt;/author&gt;&lt;/authors&gt;&lt;/contributors&gt;&lt;titles&gt;&lt;title&gt;Disabled children: The right to feel safe&lt;/title&gt;&lt;secondary-title&gt;Child care in practice&lt;/secondary-title&gt;&lt;/titles&gt;&lt;periodical&gt;&lt;full-title&gt;Child care in practice&lt;/full-title&gt;&lt;/periodical&gt;&lt;pages&gt;19-34&lt;/pages&gt;&lt;volume&gt;16&lt;/volume&gt;&lt;number&gt;1&lt;/number&gt;&lt;dates&gt;&lt;year&gt;2010&lt;/year&gt;&lt;/dates&gt;&lt;isbn&gt;1357-5279&lt;/isbn&gt;&lt;urls&gt;&lt;/urls&gt;&lt;/record&gt;&lt;/Cite&gt;&lt;/EndNote&gt;</w:instrText>
      </w:r>
      <w:r>
        <w:fldChar w:fldCharType="separate"/>
      </w:r>
      <w:r w:rsidRPr="002E21D6">
        <w:t>(</w:t>
      </w:r>
      <w:hyperlink w:anchor="_ENREF_31" w:tooltip="Manders, 2009 #63" w:history="1">
        <w:r w:rsidRPr="002E21D6">
          <w:t>Manders and Stoneman, 2009</w:t>
        </w:r>
      </w:hyperlink>
      <w:r w:rsidRPr="002E21D6">
        <w:t xml:space="preserve">, </w:t>
      </w:r>
      <w:hyperlink w:anchor="_ENREF_39" w:tooltip="Mepham, 2010 #64" w:history="1">
        <w:r w:rsidRPr="002E21D6">
          <w:t>Mepham, 2010</w:t>
        </w:r>
      </w:hyperlink>
      <w:r w:rsidRPr="002E21D6">
        <w:t>)</w:t>
      </w:r>
      <w:r>
        <w:fldChar w:fldCharType="end"/>
      </w:r>
      <w:r w:rsidRPr="00D12B9B">
        <w:t>.</w:t>
      </w:r>
      <w:r>
        <w:t xml:space="preserve"> Ensuring that these barriers to support can be overcome will be integral to the successful implementation of choice and control through the NDIS. </w:t>
      </w:r>
    </w:p>
    <w:p w14:paraId="01655B17" w14:textId="77777777" w:rsidR="002E21D6" w:rsidRPr="002E21D6" w:rsidRDefault="002E21D6" w:rsidP="002E21D6">
      <w:pPr>
        <w:numPr>
          <w:ilvl w:val="0"/>
          <w:numId w:val="15"/>
        </w:numPr>
      </w:pPr>
      <w:r w:rsidRPr="002E21D6">
        <w:t xml:space="preserve">Further, as choice and control is extended through the NDIS, people with disability will be required to make a broader range of everyday decisions about their relationships, support services, community, economic participation and other activities. Ensuring that people have the support to balance risk and choice within these decisions is important for responsibly implementing the NDIS policy changes towards personalisation. Significantly, the </w:t>
      </w:r>
      <w:r w:rsidRPr="002E21D6">
        <w:rPr>
          <w:i/>
        </w:rPr>
        <w:t>NDIS Quality and Safeguarding Framework</w:t>
      </w:r>
      <w:r w:rsidRPr="002E21D6">
        <w:t xml:space="preserve"> notes the importance of developmental measures to strengthen the capability of people with disability for safeguarding, alongside preventative and corrective measures to respond to issues that have already arisen. In this context of both preventing abuse and supporting people to balance risk and choice, this review examines the available evidence about support to people with disability to make decisions that promote personal safety and prevent harm. It focuses on support to people with intellectual disability in particular, as this is a group who have very often missed out on opportunities to develop their decision-making skills, however many of the findings may be applicable to other persons with disability who need support with making decisions about safeguarding.</w:t>
      </w:r>
    </w:p>
    <w:p w14:paraId="2864265F" w14:textId="77777777" w:rsidR="002E21D6" w:rsidRPr="002E21D6" w:rsidRDefault="002E21D6" w:rsidP="002E21D6">
      <w:pPr>
        <w:numPr>
          <w:ilvl w:val="0"/>
          <w:numId w:val="15"/>
        </w:numPr>
      </w:pPr>
      <w:r w:rsidRPr="002E21D6">
        <w:t xml:space="preserve">Existing academic research has identified consistent safeguarding issues that arise under policies of personalisation </w:t>
      </w:r>
      <w:r w:rsidRPr="00DB1C99">
        <w:fldChar w:fldCharType="begin">
          <w:fldData xml:space="preserve">PEVuZE5vdGU+PENpdGU+PEF1dGhvcj5NYW50aG9ycGU8L0F1dGhvcj48WWVhcj4yMDA5PC9ZZWFy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</w:fldData>
        </w:fldChar>
      </w:r>
      <w:r>
        <w:instrText xml:space="preserve"> ADDIN EN.CITE </w:instrText>
      </w:r>
      <w:r>
        <w:fldChar w:fldCharType="begin">
          <w:fldData xml:space="preserve">PEVuZE5vdGU+PENpdGU+PEF1dGhvcj5NYW50aG9ycGU8L0F1dGhvcj48WWVhcj4yMDA5PC9ZZWFy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</w:fldData>
        </w:fldChar>
      </w:r>
      <w:r>
        <w:instrText xml:space="preserve"> ADDIN EN.CITE.DATA </w:instrText>
      </w:r>
      <w:r>
        <w:fldChar w:fldCharType="end"/>
      </w:r>
      <w:r w:rsidRPr="00DB1C99">
        <w:fldChar w:fldCharType="separate"/>
      </w:r>
      <w:r w:rsidRPr="002E21D6">
        <w:t>(</w:t>
      </w:r>
      <w:hyperlink w:anchor="_ENREF_34" w:tooltip="Manthorpe, 2009 #14" w:history="1">
        <w:r w:rsidRPr="002E21D6">
          <w:t>Manthorpe et al., 2009</w:t>
        </w:r>
      </w:hyperlink>
      <w:r w:rsidRPr="002E21D6">
        <w:t xml:space="preserve">, </w:t>
      </w:r>
      <w:hyperlink w:anchor="_ENREF_33" w:tooltip="Manthorpe, 2011 #13" w:history="1">
        <w:r w:rsidRPr="002E21D6">
          <w:t>2011</w:t>
        </w:r>
      </w:hyperlink>
      <w:r w:rsidRPr="002E21D6">
        <w:t xml:space="preserve">, </w:t>
      </w:r>
      <w:hyperlink w:anchor="_ENREF_32" w:tooltip="Manthorpe, 2013 #12" w:history="1">
        <w:r w:rsidRPr="002E21D6">
          <w:t>2013</w:t>
        </w:r>
      </w:hyperlink>
      <w:r w:rsidRPr="002E21D6">
        <w:t xml:space="preserve">, </w:t>
      </w:r>
      <w:hyperlink w:anchor="_ENREF_35" w:tooltip="Manthorpe, 2015 #15" w:history="1">
        <w:r w:rsidRPr="002E21D6">
          <w:t>2015</w:t>
        </w:r>
      </w:hyperlink>
      <w:r w:rsidRPr="002E21D6">
        <w:t xml:space="preserve">, </w:t>
      </w:r>
      <w:hyperlink w:anchor="_ENREF_8" w:tooltip="Carr, 2011 #18" w:history="1">
        <w:r w:rsidRPr="002E21D6">
          <w:t>Carr, 2011</w:t>
        </w:r>
      </w:hyperlink>
      <w:r w:rsidRPr="002E21D6">
        <w:t xml:space="preserve">, </w:t>
      </w:r>
      <w:hyperlink w:anchor="_ENREF_7" w:tooltip="Campbell, 2012 #11" w:history="1">
        <w:r w:rsidRPr="002E21D6">
          <w:t>Campbell et al., 2012</w:t>
        </w:r>
      </w:hyperlink>
      <w:r w:rsidRPr="002E21D6">
        <w:t xml:space="preserve">, </w:t>
      </w:r>
      <w:hyperlink w:anchor="_ENREF_16" w:tooltip="Ellis, 2012 #20" w:history="1">
        <w:r w:rsidRPr="002E21D6">
          <w:t>Ellis and Preston-Shoot, 2012</w:t>
        </w:r>
      </w:hyperlink>
      <w:r w:rsidRPr="002E21D6">
        <w:t xml:space="preserve">, </w:t>
      </w:r>
      <w:hyperlink w:anchor="_ENREF_27" w:tooltip="Junne, 2014 #19" w:history="1">
        <w:r w:rsidRPr="002E21D6">
          <w:t>Junne and Huber, 2014</w:t>
        </w:r>
      </w:hyperlink>
      <w:r w:rsidRPr="002E21D6">
        <w:t xml:space="preserve">, </w:t>
      </w:r>
      <w:hyperlink w:anchor="_ENREF_57" w:tooltip="Stevens, 2016 #9" w:history="1">
        <w:r w:rsidRPr="002E21D6">
          <w:t>Stevens et al., 2016</w:t>
        </w:r>
      </w:hyperlink>
      <w:r w:rsidRPr="002E21D6">
        <w:t>)</w:t>
      </w:r>
      <w:r w:rsidRPr="00DB1C99">
        <w:fldChar w:fldCharType="end"/>
      </w:r>
      <w:r w:rsidRPr="002E21D6">
        <w:t xml:space="preserve">, highlighting tensions between choice and control on the one hand and safeguarding or harm reduction on the other </w:t>
      </w:r>
      <w:r w:rsidRPr="002E21D6">
        <w:fldChar w:fldCharType="begin">
          <w:fldData xml:space="preserve">PEVuZE5vdGU+PENpdGU+PEF1dGhvcj5NYW50aG9ycGU8L0F1dGhvcj48WWVhcj4yMDA5PC9ZZWFy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</w:fldData>
        </w:fldChar>
      </w:r>
      <w:r w:rsidRPr="002E21D6">
        <w:instrText xml:space="preserve"> ADDIN EN.CITE </w:instrText>
      </w:r>
      <w:r w:rsidRPr="002E21D6">
        <w:fldChar w:fldCharType="begin">
          <w:fldData xml:space="preserve">PEVuZE5vdGU+PENpdGU+PEF1dGhvcj5NYW50aG9ycGU8L0F1dGhvcj48WWVhcj4yMDA5PC9ZZWFy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</w:fldData>
        </w:fldChar>
      </w:r>
      <w:r w:rsidRPr="002E21D6">
        <w:instrText xml:space="preserve"> ADDIN EN.CITE.DATA </w:instrText>
      </w:r>
      <w:r w:rsidRPr="002E21D6">
        <w:fldChar w:fldCharType="end"/>
      </w:r>
      <w:r w:rsidRPr="002E21D6">
        <w:fldChar w:fldCharType="separate"/>
      </w:r>
      <w:r w:rsidRPr="002E21D6">
        <w:t>(</w:t>
      </w:r>
      <w:hyperlink w:anchor="_ENREF_34" w:tooltip="Manthorpe, 2009 #14" w:history="1">
        <w:r w:rsidRPr="002E21D6">
          <w:t>Manthorpe et al., 2009</w:t>
        </w:r>
      </w:hyperlink>
      <w:r w:rsidRPr="002E21D6">
        <w:t xml:space="preserve">, </w:t>
      </w:r>
      <w:hyperlink w:anchor="_ENREF_35" w:tooltip="Manthorpe, 2015 #15" w:history="1">
        <w:r w:rsidRPr="002E21D6">
          <w:t>2015</w:t>
        </w:r>
      </w:hyperlink>
      <w:r w:rsidRPr="002E21D6">
        <w:t xml:space="preserve">, </w:t>
      </w:r>
      <w:hyperlink w:anchor="_ENREF_16" w:tooltip="Ellis, 2012 #20" w:history="1">
        <w:r w:rsidRPr="002E21D6">
          <w:t>Ellis and Preston-Shoot, 2012</w:t>
        </w:r>
      </w:hyperlink>
      <w:r w:rsidRPr="002E21D6">
        <w:t xml:space="preserve">, </w:t>
      </w:r>
      <w:hyperlink w:anchor="_ENREF_56" w:tooltip="Stevens, 2014 #16" w:history="1">
        <w:r w:rsidRPr="002E21D6">
          <w:t>Stevens et al., 2014</w:t>
        </w:r>
      </w:hyperlink>
      <w:r w:rsidRPr="002E21D6">
        <w:t>)</w:t>
      </w:r>
      <w:r w:rsidRPr="002E21D6">
        <w:fldChar w:fldCharType="end"/>
      </w:r>
      <w:r w:rsidRPr="002E21D6">
        <w:t xml:space="preserve">. However, less research has identified and/or evaluated strategies to support the decision-making that can address these tensions. Further, little academic research has directly asked people with disability about their perceptions of what it takes to support them in decision-making about promoting personal safety and preventing harm </w:t>
      </w:r>
      <w:r w:rsidRPr="002E21D6">
        <w:fldChar w:fldCharType="begin"/>
      </w:r>
      <w:r w:rsidRPr="002E21D6">
        <w:instrText xml:space="preserve"> ADDIN EN.CITE &lt;EndNote&gt;&lt;Cite&gt;&lt;Author&gt;Robinson&lt;/Author&gt;&lt;Year&gt;2013 &lt;/Year&gt;&lt;RecNum&gt;53&lt;/RecNum&gt;&lt;DisplayText&gt;(Robinson, 2013 )&lt;/DisplayText&gt;&lt;record&gt;&lt;rec-number&gt;53&lt;/rec-number&gt;&lt;foreign-keys&gt;&lt;key app="EN" db-id="e2pvpettoe5ddver2zlpspd00avfvwwf99z5"&gt;53&lt;/key&gt;&lt;/foreign-keys&gt;&lt;ref-type name="Book"&gt;6&lt;/ref-type&gt;&lt;contributors&gt;&lt;authors&gt;&lt;author&gt;Robinson, S. &lt;/author&gt;&lt;/authors&gt;&lt;/contributors&gt;&lt;titles&gt;&lt;title&gt;Preventing Emotional and Psychological Abuse and Neglect of People with Intellectual Disability: Stopping Insult and Injury&lt;/title&gt;&lt;/titles&gt;&lt;dates&gt;&lt;year&gt;2013 &lt;/year&gt;&lt;/dates&gt;&lt;pub-location&gt;London &lt;/pub-location&gt;&lt;publisher&gt;Jessica Kingsley Publishers&lt;/publisher&gt;&lt;urls&gt;&lt;/urls&gt;&lt;/record&gt;&lt;/Cite&gt;&lt;/EndNote&gt;</w:instrText>
      </w:r>
      <w:r w:rsidRPr="002E21D6">
        <w:fldChar w:fldCharType="separate"/>
      </w:r>
      <w:r w:rsidRPr="002E21D6">
        <w:t>(</w:t>
      </w:r>
      <w:hyperlink w:anchor="_ENREF_48" w:tooltip="Robinson, 2013  #53" w:history="1">
        <w:r w:rsidRPr="002E21D6">
          <w:t>Robinson, 2013</w:t>
        </w:r>
      </w:hyperlink>
      <w:r w:rsidRPr="002E21D6">
        <w:t>)</w:t>
      </w:r>
      <w:r w:rsidRPr="002E21D6">
        <w:fldChar w:fldCharType="end"/>
      </w:r>
      <w:r w:rsidRPr="002E21D6">
        <w:t xml:space="preserve">. The infrequency of studies reporting on the perspectives of people with disability about safeguarding and risk is a problem also noted more generally in the literature, where the ethical concerns about asking people with disability about sensitive subjects such as abuse are noted, but so are the hazards of not studying risk and safeguarding for this group and thereby not generating the knowledge needed to improve their outcomes in these areas </w:t>
      </w:r>
      <w:r w:rsidRPr="002E21D6">
        <w:fldChar w:fldCharType="begin"/>
      </w:r>
      <w:r w:rsidRPr="002E21D6">
        <w:instrText xml:space="preserve"> ADDIN EN.CITE &lt;EndNote&gt;&lt;Cite&gt;&lt;Author&gt;Fyson&lt;/Author&gt;&lt;Year&gt;2007&lt;/Year&gt;&lt;RecNum&gt;54&lt;/RecNum&gt;&lt;DisplayText&gt;(Fyson and Kitson, 2007, Northway et al., 2013b)&lt;/DisplayText&gt;&lt;record&gt;&lt;rec-number&gt;54&lt;/rec-number&gt;&lt;foreign-keys&gt;&lt;key app="EN" db-id="e2pvpettoe5ddver2zlpspd00avfvwwf99z5"&gt;54&lt;/key&gt;&lt;/foreign-keys&gt;&lt;ref-type name="Journal Article"&gt;17&lt;/ref-type&gt;&lt;contributors&gt;&lt;authors&gt;&lt;author&gt;Fyson, Rachel&lt;/author&gt;&lt;author&gt;Kitson, Deborah&lt;/author&gt;&lt;/authors&gt;&lt;/contributors&gt;&lt;titles&gt;&lt;title&gt;Independence or protection–does it have to be a choice? Reflections on the abuse of people with learning disabilities in Cornwall&lt;/title&gt;&lt;secondary-title&gt;Critical Social Policy&lt;/secondary-title&gt;&lt;/titles&gt;&lt;periodical&gt;&lt;full-title&gt;Critical Social Policy&lt;/full-title&gt;&lt;/periodical&gt;&lt;pages&gt;426-436&lt;/pages&gt;&lt;volume&gt;27&lt;/volume&gt;&lt;number&gt;3&lt;/number&gt;&lt;dates&gt;&lt;year&gt;2007&lt;/year&gt;&lt;/dates&gt;&lt;isbn&gt;0261-0183&lt;/isbn&gt;&lt;urls&gt;&lt;/urls&gt;&lt;/record&gt;&lt;/Cite&gt;&lt;Cite&gt;&lt;Author&gt;Northway&lt;/Author&gt;&lt;Year&gt;2013&lt;/Year&gt;&lt;RecNum&gt;43&lt;/RecNum&gt;&lt;record&gt;&lt;rec-number&gt;43&lt;/rec-number&gt;&lt;foreign-keys&gt;&lt;key app="EN" db-id="e2pvpettoe5ddver2zlpspd00avfvwwf99z5"&gt;43&lt;/key&gt;&lt;/foreign-keys&gt;&lt;ref-type name="Journal Article"&gt;17&lt;/ref-type&gt;&lt;contributors&gt;&lt;authors&gt;&lt;author&gt;Northway, Ruth&lt;/author&gt;&lt;author&gt;Jenkins, Robert&lt;/author&gt;&lt;author&gt;Jones, Victoria&lt;/author&gt;&lt;author&gt;Howarth, Joyce&lt;/author&gt;&lt;author&gt;Hodges, Zoe&lt;/author&gt;&lt;/authors&gt;&lt;/contributors&gt;&lt;titles&gt;&lt;title&gt;Researching policy and practice to safeguard people with intellectual disabilities from abuse: Some methodological challenges&lt;/title&gt;&lt;secondary-title&gt;Journal of Policy and Practice in Intellectual Disabilities&lt;/secondary-title&gt;&lt;/titles&gt;&lt;periodical&gt;&lt;full-title&gt;Journal of Policy and Practice in Intellectual Disabilities&lt;/full-title&gt;&lt;/periodical&gt;&lt;pages&gt;188-195&lt;/pages&gt;&lt;volume&gt;10&lt;/volume&gt;&lt;number&gt;3&lt;/number&gt;&lt;dates&gt;&lt;year&gt;2013&lt;/year&gt;&lt;/dates&gt;&lt;isbn&gt;1741-1130&lt;/isbn&gt;&lt;urls&gt;&lt;/urls&gt;&lt;/record&gt;&lt;/Cite&gt;&lt;/EndNote&gt;</w:instrText>
      </w:r>
      <w:r w:rsidRPr="002E21D6">
        <w:fldChar w:fldCharType="separate"/>
      </w:r>
      <w:r w:rsidRPr="002E21D6">
        <w:t>(</w:t>
      </w:r>
      <w:hyperlink w:anchor="_ENREF_20" w:tooltip="Fyson, 2007 #54" w:history="1">
        <w:r w:rsidRPr="002E21D6">
          <w:t>Fyson and Kitson, 2007</w:t>
        </w:r>
      </w:hyperlink>
      <w:r w:rsidRPr="002E21D6">
        <w:t xml:space="preserve">, </w:t>
      </w:r>
      <w:hyperlink w:anchor="_ENREF_41" w:tooltip="Northway, 2013 #43" w:history="1">
        <w:r w:rsidRPr="002E21D6">
          <w:t>Northway et al., 2013b</w:t>
        </w:r>
      </w:hyperlink>
      <w:r w:rsidRPr="002E21D6">
        <w:t>)</w:t>
      </w:r>
      <w:r w:rsidRPr="002E21D6">
        <w:fldChar w:fldCharType="end"/>
      </w:r>
      <w:r w:rsidRPr="002E21D6">
        <w:t xml:space="preserve">. </w:t>
      </w:r>
    </w:p>
    <w:p w14:paraId="2520DA04" w14:textId="77777777" w:rsidR="002E21D6" w:rsidRPr="002E21D6" w:rsidRDefault="002E21D6" w:rsidP="002E21D6">
      <w:pPr>
        <w:numPr>
          <w:ilvl w:val="0"/>
          <w:numId w:val="15"/>
        </w:numPr>
      </w:pPr>
      <w:r w:rsidRPr="002E21D6">
        <w:lastRenderedPageBreak/>
        <w:t xml:space="preserve">Further to the available academic research, a new emergent evidence base is also developing based on Australian projects aiming to support decision-making for people with disability. In recognition of the increased need for support for decision-making under the NDIS, Australian state and federal governments have moved to provide a number of supported decision-making projects. These projects are focused on building self-determination under individualised decision support, prioritising a rights-based approach and building from practice experience to implement principles of co-design and mentoring, as well as focused learning opportunities and skill and capacity building. The projects thus represent an important evidence base that complements and extends the available academic literature, picking up on some of the most recent developments that are not yet reflected in the published academic studies. </w:t>
      </w:r>
    </w:p>
    <w:p w14:paraId="78587FB6" w14:textId="77777777" w:rsidR="002E21D6" w:rsidRPr="002E21D6" w:rsidRDefault="002E21D6" w:rsidP="002E21D6">
      <w:pPr>
        <w:numPr>
          <w:ilvl w:val="0"/>
          <w:numId w:val="15"/>
        </w:numPr>
      </w:pPr>
      <w:r w:rsidRPr="002E21D6">
        <w:t xml:space="preserve">In this context, this review draws together the findings of the available academic literature and practice evidence, in order to begin to answer the research questions in the preface to this paper and understand the subjects about which people with disability seek decision-making support for promoting personal safety and preventing harm; types of support that are useful and promising practices for delivery; the sources of support that people with disability draw on; and the experiences of different groups. The review first reports on the academic and practice evidence on each of these areas and then ends with implications and conclusions for </w:t>
      </w:r>
      <w:r>
        <w:t>the action research project currently being undertaken by the NSW Council of Social Service (NCOSS), as described in the preface to this paper.</w:t>
      </w:r>
    </w:p>
    <w:p w14:paraId="762870C6" w14:textId="77777777" w:rsidR="002E21D6" w:rsidRDefault="002E21D6" w:rsidP="002E21D6">
      <w:r w:rsidRPr="002E21D6">
        <w:t>In reporting on the academic literature, the review includes research from multiple perspectives, but, where possible, foregrounds a focus on the small number of studies that have drawn directly on the perspectives of people with disability, particularly intellectual disability, themselves. In reporting on the practice evidence, the review primarily focuses on insights from eight supported decision-making projects funded by Ageing Disability and Home Care (ADHC), the Department of Family and Community Services (FACS) NSW, and run by a range of other agencies. The projects are:</w:t>
      </w:r>
    </w:p>
    <w:tbl>
      <w:tblPr>
        <w:tblStyle w:val="TableGrid"/>
        <w:tblW w:w="0" w:type="auto"/>
        <w:tblLook w:val="0420" w:firstRow="1" w:lastRow="0" w:firstColumn="0" w:lastColumn="0" w:noHBand="0" w:noVBand="1"/>
      </w:tblPr>
      <w:tblGrid>
        <w:gridCol w:w="5954"/>
        <w:gridCol w:w="3684"/>
      </w:tblGrid>
      <w:tr w:rsidR="002E21D6" w14:paraId="0B6B0516" w14:textId="77777777" w:rsidTr="002E21D6">
        <w:trPr>
          <w:cnfStyle w:val="100000000000" w:firstRow="1" w:lastRow="0" w:firstColumn="0" w:lastColumn="0" w:oddVBand="0" w:evenVBand="0" w:oddHBand="0" w:evenHBand="0" w:firstRowFirstColumn="0" w:firstRowLastColumn="0" w:lastRowFirstColumn="0" w:lastRowLastColumn="0"/>
        </w:trPr>
        <w:tc>
          <w:tcPr>
            <w:tcW w:w="5954" w:type="dxa"/>
          </w:tcPr>
          <w:p w14:paraId="087B43B6" w14:textId="77777777" w:rsidR="002E21D6" w:rsidRDefault="002E21D6" w:rsidP="002E21D6">
            <w:pPr>
              <w:spacing w:before="60" w:after="60"/>
              <w:jc w:val="left"/>
            </w:pPr>
            <w:r>
              <w:t>Project name</w:t>
            </w:r>
          </w:p>
        </w:tc>
        <w:tc>
          <w:tcPr>
            <w:tcW w:w="3684" w:type="dxa"/>
          </w:tcPr>
          <w:p w14:paraId="7BE14041" w14:textId="77777777" w:rsidR="002E21D6" w:rsidRDefault="002E21D6" w:rsidP="002E21D6">
            <w:pPr>
              <w:spacing w:before="60" w:after="60"/>
              <w:jc w:val="left"/>
            </w:pPr>
            <w:r>
              <w:t>Implementing agency</w:t>
            </w:r>
          </w:p>
        </w:tc>
      </w:tr>
      <w:tr w:rsidR="002E21D6" w14:paraId="3C5E381F" w14:textId="77777777" w:rsidTr="002E21D6">
        <w:trPr>
          <w:cnfStyle w:val="000000100000" w:firstRow="0" w:lastRow="0" w:firstColumn="0" w:lastColumn="0" w:oddVBand="0" w:evenVBand="0" w:oddHBand="1" w:evenHBand="0" w:firstRowFirstColumn="0" w:firstRowLastColumn="0" w:lastRowFirstColumn="0" w:lastRowLastColumn="0"/>
        </w:trPr>
        <w:tc>
          <w:tcPr>
            <w:tcW w:w="5954" w:type="dxa"/>
          </w:tcPr>
          <w:p w14:paraId="23AEE00E" w14:textId="77777777" w:rsidR="002E21D6" w:rsidRDefault="002E21D6" w:rsidP="002E21D6">
            <w:pPr>
              <w:spacing w:before="60" w:after="60"/>
              <w:jc w:val="left"/>
            </w:pPr>
            <w:r>
              <w:t xml:space="preserve">1. </w:t>
            </w:r>
            <w:r>
              <w:tab/>
              <w:t xml:space="preserve">Advanced Support Decision Making Initiative </w:t>
            </w:r>
            <w:r>
              <w:tab/>
              <w:t xml:space="preserve">(incorporating two projects) </w:t>
            </w:r>
          </w:p>
        </w:tc>
        <w:tc>
          <w:tcPr>
            <w:tcW w:w="3684" w:type="dxa"/>
          </w:tcPr>
          <w:p w14:paraId="06D6425F" w14:textId="77777777" w:rsidR="002E21D6" w:rsidRDefault="002E21D6" w:rsidP="002E21D6">
            <w:pPr>
              <w:spacing w:before="60" w:after="60"/>
              <w:jc w:val="left"/>
            </w:pPr>
            <w:r>
              <w:t>Jaanimili Uniting</w:t>
            </w:r>
          </w:p>
          <w:p w14:paraId="64BCDC59" w14:textId="77777777" w:rsidR="002E21D6" w:rsidRDefault="002E21D6" w:rsidP="002E21D6">
            <w:pPr>
              <w:spacing w:before="60" w:after="60"/>
              <w:jc w:val="left"/>
            </w:pPr>
            <w:r>
              <w:t>Ability Links St Vincent de Paul Society</w:t>
            </w:r>
          </w:p>
        </w:tc>
      </w:tr>
      <w:tr w:rsidR="002E21D6" w14:paraId="207B0418" w14:textId="77777777" w:rsidTr="002E21D6">
        <w:trPr>
          <w:cnfStyle w:val="000000010000" w:firstRow="0" w:lastRow="0" w:firstColumn="0" w:lastColumn="0" w:oddVBand="0" w:evenVBand="0" w:oddHBand="0" w:evenHBand="1" w:firstRowFirstColumn="0" w:firstRowLastColumn="0" w:lastRowFirstColumn="0" w:lastRowLastColumn="0"/>
        </w:trPr>
        <w:tc>
          <w:tcPr>
            <w:tcW w:w="5954" w:type="dxa"/>
          </w:tcPr>
          <w:p w14:paraId="059BC56C" w14:textId="77777777" w:rsidR="002E21D6" w:rsidRDefault="002E21D6" w:rsidP="002E21D6">
            <w:pPr>
              <w:spacing w:before="60" w:after="60"/>
              <w:jc w:val="left"/>
            </w:pPr>
            <w:r>
              <w:t>2.</w:t>
            </w:r>
            <w:r>
              <w:tab/>
              <w:t xml:space="preserve">Financial Decision Making and Financial Literacy Skill </w:t>
            </w:r>
            <w:r>
              <w:tab/>
              <w:t>Development (includes a sector training project)</w:t>
            </w:r>
          </w:p>
        </w:tc>
        <w:tc>
          <w:tcPr>
            <w:tcW w:w="3684" w:type="dxa"/>
          </w:tcPr>
          <w:p w14:paraId="43F170A3" w14:textId="77777777" w:rsidR="002E21D6" w:rsidRDefault="002E21D6" w:rsidP="002E21D6">
            <w:pPr>
              <w:spacing w:before="60" w:after="60"/>
              <w:jc w:val="left"/>
            </w:pPr>
            <w:r>
              <w:t>NSW Public Guardian and NSW Trustee and Guardian</w:t>
            </w:r>
          </w:p>
        </w:tc>
      </w:tr>
      <w:tr w:rsidR="002E21D6" w14:paraId="0FFF8228" w14:textId="77777777" w:rsidTr="002E21D6">
        <w:trPr>
          <w:cnfStyle w:val="000000100000" w:firstRow="0" w:lastRow="0" w:firstColumn="0" w:lastColumn="0" w:oddVBand="0" w:evenVBand="0" w:oddHBand="1" w:evenHBand="0" w:firstRowFirstColumn="0" w:firstRowLastColumn="0" w:lastRowFirstColumn="0" w:lastRowLastColumn="0"/>
        </w:trPr>
        <w:tc>
          <w:tcPr>
            <w:tcW w:w="5954" w:type="dxa"/>
          </w:tcPr>
          <w:p w14:paraId="2A58CF42" w14:textId="77777777" w:rsidR="002E21D6" w:rsidRDefault="002E21D6" w:rsidP="002E21D6">
            <w:pPr>
              <w:spacing w:before="60" w:after="60"/>
              <w:jc w:val="left"/>
            </w:pPr>
            <w:r>
              <w:t>3.</w:t>
            </w:r>
            <w:r>
              <w:tab/>
              <w:t>The Rights Project</w:t>
            </w:r>
          </w:p>
        </w:tc>
        <w:tc>
          <w:tcPr>
            <w:tcW w:w="3684" w:type="dxa"/>
          </w:tcPr>
          <w:p w14:paraId="2C13D5D8" w14:textId="77777777" w:rsidR="002E21D6" w:rsidRDefault="002E21D6" w:rsidP="002E21D6">
            <w:pPr>
              <w:spacing w:before="60" w:after="60"/>
              <w:jc w:val="left"/>
            </w:pPr>
            <w:r>
              <w:t>NSW Ombudsman</w:t>
            </w:r>
          </w:p>
        </w:tc>
      </w:tr>
      <w:tr w:rsidR="002E21D6" w14:paraId="6AF1237C" w14:textId="77777777" w:rsidTr="002E21D6">
        <w:trPr>
          <w:cnfStyle w:val="000000010000" w:firstRow="0" w:lastRow="0" w:firstColumn="0" w:lastColumn="0" w:oddVBand="0" w:evenVBand="0" w:oddHBand="0" w:evenHBand="1" w:firstRowFirstColumn="0" w:firstRowLastColumn="0" w:lastRowFirstColumn="0" w:lastRowLastColumn="0"/>
        </w:trPr>
        <w:tc>
          <w:tcPr>
            <w:tcW w:w="5954" w:type="dxa"/>
          </w:tcPr>
          <w:p w14:paraId="58310555" w14:textId="77777777" w:rsidR="002E21D6" w:rsidRDefault="002E21D6" w:rsidP="002E21D6">
            <w:pPr>
              <w:spacing w:before="60" w:after="60"/>
              <w:jc w:val="left"/>
            </w:pPr>
            <w:r>
              <w:t>4.</w:t>
            </w:r>
            <w:r>
              <w:tab/>
              <w:t xml:space="preserve">Supported Decision Making Workshops (for 14-18 year old </w:t>
            </w:r>
            <w:r>
              <w:tab/>
              <w:t>with disability, family and carers)</w:t>
            </w:r>
          </w:p>
        </w:tc>
        <w:tc>
          <w:tcPr>
            <w:tcW w:w="3684" w:type="dxa"/>
          </w:tcPr>
          <w:p w14:paraId="6BA66EAF" w14:textId="77777777" w:rsidR="002E21D6" w:rsidRDefault="002E21D6" w:rsidP="002E21D6">
            <w:pPr>
              <w:spacing w:before="60" w:after="60"/>
              <w:jc w:val="left"/>
            </w:pPr>
            <w:r>
              <w:t>Carers NSW/Mirri Mirri</w:t>
            </w:r>
          </w:p>
        </w:tc>
      </w:tr>
      <w:tr w:rsidR="002E21D6" w14:paraId="60A18AFE" w14:textId="77777777" w:rsidTr="002E21D6">
        <w:trPr>
          <w:cnfStyle w:val="000000100000" w:firstRow="0" w:lastRow="0" w:firstColumn="0" w:lastColumn="0" w:oddVBand="0" w:evenVBand="0" w:oddHBand="1" w:evenHBand="0" w:firstRowFirstColumn="0" w:firstRowLastColumn="0" w:lastRowFirstColumn="0" w:lastRowLastColumn="0"/>
        </w:trPr>
        <w:tc>
          <w:tcPr>
            <w:tcW w:w="5954" w:type="dxa"/>
          </w:tcPr>
          <w:p w14:paraId="3FEB4C40" w14:textId="77777777" w:rsidR="002E21D6" w:rsidRDefault="002E21D6" w:rsidP="002E21D6">
            <w:pPr>
              <w:spacing w:before="60" w:after="60"/>
              <w:jc w:val="left"/>
            </w:pPr>
            <w:r>
              <w:t>5.</w:t>
            </w:r>
            <w:r>
              <w:tab/>
              <w:t xml:space="preserve">Supporting Transition and Independence in Leaving Care </w:t>
            </w:r>
            <w:r>
              <w:tab/>
              <w:t>Program</w:t>
            </w:r>
          </w:p>
        </w:tc>
        <w:tc>
          <w:tcPr>
            <w:tcW w:w="3684" w:type="dxa"/>
          </w:tcPr>
          <w:p w14:paraId="40D904FF" w14:textId="77777777" w:rsidR="002E21D6" w:rsidRDefault="002E21D6" w:rsidP="002E21D6">
            <w:pPr>
              <w:spacing w:before="60" w:after="60"/>
              <w:jc w:val="left"/>
            </w:pPr>
            <w:r>
              <w:t>Create Foundation</w:t>
            </w:r>
          </w:p>
        </w:tc>
      </w:tr>
      <w:tr w:rsidR="002E21D6" w14:paraId="7051639F" w14:textId="77777777" w:rsidTr="006772E1">
        <w:trPr>
          <w:cnfStyle w:val="000000010000" w:firstRow="0" w:lastRow="0" w:firstColumn="0" w:lastColumn="0" w:oddVBand="0" w:evenVBand="0" w:oddHBand="0" w:evenHBand="1" w:firstRowFirstColumn="0" w:firstRowLastColumn="0" w:lastRowFirstColumn="0" w:lastRowLastColumn="0"/>
        </w:trPr>
        <w:tc>
          <w:tcPr>
            <w:tcW w:w="5954" w:type="dxa"/>
          </w:tcPr>
          <w:p w14:paraId="305E22BE" w14:textId="77777777" w:rsidR="002E21D6" w:rsidRDefault="002E21D6" w:rsidP="002E21D6">
            <w:pPr>
              <w:numPr>
                <w:ilvl w:val="0"/>
                <w:numId w:val="15"/>
              </w:numPr>
              <w:spacing w:before="60" w:after="60"/>
              <w:jc w:val="left"/>
            </w:pPr>
            <w:r>
              <w:t>6.</w:t>
            </w:r>
            <w:r>
              <w:tab/>
              <w:t xml:space="preserve">Developing and Piloting a Continuum Approach to Decision </w:t>
            </w:r>
            <w:r>
              <w:tab/>
              <w:t>Making</w:t>
            </w:r>
          </w:p>
        </w:tc>
        <w:tc>
          <w:tcPr>
            <w:tcW w:w="3684" w:type="dxa"/>
          </w:tcPr>
          <w:p w14:paraId="26679F27" w14:textId="77777777" w:rsidR="002E21D6" w:rsidRDefault="002E21D6" w:rsidP="002E21D6">
            <w:pPr>
              <w:numPr>
                <w:ilvl w:val="0"/>
                <w:numId w:val="15"/>
              </w:numPr>
              <w:spacing w:before="60" w:after="60"/>
              <w:jc w:val="left"/>
            </w:pPr>
            <w:r>
              <w:t>St Vincent de Paul Society, LaTrobe University and NSW Public Guardian</w:t>
            </w:r>
          </w:p>
        </w:tc>
      </w:tr>
      <w:tr w:rsidR="002E21D6" w14:paraId="36B1256A" w14:textId="77777777" w:rsidTr="002E21D6">
        <w:trPr>
          <w:cnfStyle w:val="000000100000" w:firstRow="0" w:lastRow="0" w:firstColumn="0" w:lastColumn="0" w:oddVBand="0" w:evenVBand="0" w:oddHBand="1" w:evenHBand="0" w:firstRowFirstColumn="0" w:firstRowLastColumn="0" w:lastRowFirstColumn="0" w:lastRowLastColumn="0"/>
        </w:trPr>
        <w:tc>
          <w:tcPr>
            <w:tcW w:w="5954" w:type="dxa"/>
          </w:tcPr>
          <w:p w14:paraId="7D67BD66" w14:textId="77777777" w:rsidR="002E21D6" w:rsidRDefault="002E21D6" w:rsidP="002E21D6">
            <w:pPr>
              <w:spacing w:before="60" w:after="60"/>
              <w:jc w:val="left"/>
            </w:pPr>
            <w:r>
              <w:t>7.</w:t>
            </w:r>
            <w:r>
              <w:tab/>
              <w:t>Assisted Boarding House Resident Capacity Building Project</w:t>
            </w:r>
          </w:p>
        </w:tc>
        <w:tc>
          <w:tcPr>
            <w:tcW w:w="3684" w:type="dxa"/>
          </w:tcPr>
          <w:p w14:paraId="0FD9EEF7" w14:textId="77777777" w:rsidR="002E21D6" w:rsidRDefault="002E21D6" w:rsidP="002E21D6">
            <w:pPr>
              <w:spacing w:before="60" w:after="60"/>
              <w:jc w:val="left"/>
            </w:pPr>
            <w:r>
              <w:t>NEAMI National</w:t>
            </w:r>
          </w:p>
        </w:tc>
      </w:tr>
      <w:tr w:rsidR="002E21D6" w14:paraId="3AA2F08C" w14:textId="77777777" w:rsidTr="002E21D6">
        <w:trPr>
          <w:cnfStyle w:val="000000010000" w:firstRow="0" w:lastRow="0" w:firstColumn="0" w:lastColumn="0" w:oddVBand="0" w:evenVBand="0" w:oddHBand="0" w:evenHBand="1" w:firstRowFirstColumn="0" w:firstRowLastColumn="0" w:lastRowFirstColumn="0" w:lastRowLastColumn="0"/>
        </w:trPr>
        <w:tc>
          <w:tcPr>
            <w:tcW w:w="5954" w:type="dxa"/>
          </w:tcPr>
          <w:p w14:paraId="44F52960" w14:textId="77777777" w:rsidR="002E21D6" w:rsidRDefault="002E21D6" w:rsidP="002E21D6">
            <w:pPr>
              <w:spacing w:before="60" w:after="60"/>
              <w:jc w:val="left"/>
            </w:pPr>
            <w:r>
              <w:t>8.</w:t>
            </w:r>
            <w:r>
              <w:tab/>
              <w:t>The ADHC Group Homes Capacity Building Project</w:t>
            </w:r>
          </w:p>
        </w:tc>
        <w:tc>
          <w:tcPr>
            <w:tcW w:w="3684" w:type="dxa"/>
          </w:tcPr>
          <w:p w14:paraId="0C4127DD" w14:textId="77777777" w:rsidR="002E21D6" w:rsidRDefault="002E21D6" w:rsidP="002E21D6">
            <w:pPr>
              <w:spacing w:before="60" w:after="60"/>
              <w:jc w:val="left"/>
            </w:pPr>
            <w:r>
              <w:t>NSW Council for Intellectual Disability, with My Choice Matters</w:t>
            </w:r>
          </w:p>
        </w:tc>
      </w:tr>
    </w:tbl>
    <w:p w14:paraId="17F30B98" w14:textId="77777777" w:rsidR="002E21D6" w:rsidRPr="002E21D6" w:rsidRDefault="002E21D6" w:rsidP="002E21D6">
      <w:pPr>
        <w:numPr>
          <w:ilvl w:val="0"/>
          <w:numId w:val="15"/>
        </w:numPr>
      </w:pPr>
      <w:r>
        <w:lastRenderedPageBreak/>
        <w:t xml:space="preserve">Key learnings about these projects have been developed through </w:t>
      </w:r>
      <w:r w:rsidRPr="008D5E35">
        <w:t xml:space="preserve">consultations, </w:t>
      </w:r>
      <w:r>
        <w:t xml:space="preserve">publicly </w:t>
      </w:r>
      <w:r w:rsidRPr="008D5E35">
        <w:t>available resources, conference presentations and information shared in the NSW Supported Decision Making Community of Practice</w:t>
      </w:r>
      <w:r>
        <w:t xml:space="preserve">. These programs have not all been evaluated yet, but promising practices are emerging. </w:t>
      </w:r>
    </w:p>
    <w:p w14:paraId="62108CCD" w14:textId="77777777" w:rsidR="002E21D6" w:rsidRPr="002E21D6" w:rsidRDefault="002E21D6" w:rsidP="002E21D6">
      <w:pPr>
        <w:pStyle w:val="Heading2"/>
      </w:pPr>
      <w:bookmarkStart w:id="4" w:name="_Toc480381281"/>
      <w:r w:rsidRPr="002E21D6">
        <w:t>Glossary</w:t>
      </w:r>
      <w:bookmarkEnd w:id="4"/>
    </w:p>
    <w:p w14:paraId="2FF6725C" w14:textId="77777777" w:rsidR="002E21D6" w:rsidRPr="002E21D6" w:rsidRDefault="002E21D6" w:rsidP="002E21D6">
      <w:pPr>
        <w:numPr>
          <w:ilvl w:val="0"/>
          <w:numId w:val="15"/>
        </w:numPr>
      </w:pPr>
      <w:r w:rsidRPr="002E21D6">
        <w:t xml:space="preserve">For the purposes of this review, key terms are defined as follows: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2518"/>
        <w:gridCol w:w="6724"/>
      </w:tblGrid>
      <w:tr w:rsidR="002E21D6" w14:paraId="2A34CE1D" w14:textId="77777777" w:rsidTr="00534A20">
        <w:trPr>
          <w:trHeight w:val="1381"/>
        </w:trPr>
        <w:tc>
          <w:tcPr>
            <w:tcW w:w="2518" w:type="dxa"/>
            <w:shd w:val="clear" w:color="auto" w:fill="auto"/>
          </w:tcPr>
          <w:p w14:paraId="1C8DFDC1" w14:textId="77777777" w:rsidR="002E21D6" w:rsidRPr="002E21D6" w:rsidRDefault="002E21D6" w:rsidP="002E21D6">
            <w:pPr>
              <w:numPr>
                <w:ilvl w:val="0"/>
                <w:numId w:val="15"/>
              </w:numPr>
            </w:pPr>
            <w:r w:rsidRPr="00CB0A20">
              <w:t>Safeguarding</w:t>
            </w:r>
          </w:p>
        </w:tc>
        <w:tc>
          <w:tcPr>
            <w:tcW w:w="6724" w:type="dxa"/>
            <w:shd w:val="clear" w:color="auto" w:fill="auto"/>
          </w:tcPr>
          <w:p w14:paraId="0E4C8FC9" w14:textId="77777777" w:rsidR="002E21D6" w:rsidRPr="002E21D6" w:rsidRDefault="002E21D6" w:rsidP="004E07AE">
            <w:pPr>
              <w:numPr>
                <w:ilvl w:val="0"/>
                <w:numId w:val="15"/>
              </w:numPr>
            </w:pPr>
            <w:r>
              <w:t>“</w:t>
            </w:r>
            <w:r w:rsidRPr="002E21D6">
              <w:t>Actions designed to protect the rights of people to be safe from the risk of harm, abuse and neglect, while maximising the choice and control they have over their lives” (NDIS Quality and Safeguarding Framework, p. 102).</w:t>
            </w:r>
          </w:p>
        </w:tc>
      </w:tr>
      <w:tr w:rsidR="002E21D6" w14:paraId="1A755667" w14:textId="77777777" w:rsidTr="00534A20">
        <w:tc>
          <w:tcPr>
            <w:tcW w:w="2518" w:type="dxa"/>
            <w:shd w:val="clear" w:color="auto" w:fill="auto"/>
          </w:tcPr>
          <w:p w14:paraId="46D3FBF0" w14:textId="77777777" w:rsidR="002E21D6" w:rsidRPr="002E21D6" w:rsidRDefault="002E21D6" w:rsidP="002E21D6">
            <w:pPr>
              <w:numPr>
                <w:ilvl w:val="0"/>
                <w:numId w:val="15"/>
              </w:numPr>
            </w:pPr>
            <w:r w:rsidRPr="002E21D6">
              <w:t>Supported decision</w:t>
            </w:r>
            <w:r w:rsidRPr="002E21D6">
              <w:br/>
              <w:t>making</w:t>
            </w:r>
          </w:p>
        </w:tc>
        <w:tc>
          <w:tcPr>
            <w:tcW w:w="6724" w:type="dxa"/>
            <w:shd w:val="clear" w:color="auto" w:fill="auto"/>
          </w:tcPr>
          <w:p w14:paraId="4D74F204" w14:textId="77777777" w:rsidR="002E21D6" w:rsidRPr="002E21D6" w:rsidRDefault="002E21D6" w:rsidP="004E07AE">
            <w:pPr>
              <w:numPr>
                <w:ilvl w:val="0"/>
                <w:numId w:val="15"/>
              </w:numPr>
            </w:pPr>
            <w:r w:rsidRPr="002E21D6">
              <w:t>“Supported Decision Making is the process of assisting a person with disability to make their own decisions, so they can develop and pursue their own goals, make choices about their life and exercise some control over the things that are important to them” (</w:t>
            </w:r>
            <w:hyperlink r:id="rId17" w:history="1">
              <w:r w:rsidRPr="006761AA">
                <w:rPr>
                  <w:rStyle w:val="Hyperlink"/>
                </w:rPr>
                <w:t>www.adhc.nsw.gov.au/individuals/inclusion_and_participation/supported-decision-making</w:t>
              </w:r>
            </w:hyperlink>
            <w:r w:rsidR="004E07AE">
              <w:t>).</w:t>
            </w:r>
          </w:p>
        </w:tc>
      </w:tr>
    </w:tbl>
    <w:p w14:paraId="228063D1" w14:textId="77777777" w:rsidR="004E07AE" w:rsidRPr="004E07AE" w:rsidRDefault="004E07AE" w:rsidP="004E07AE">
      <w:pPr>
        <w:pStyle w:val="Heading1"/>
      </w:pPr>
      <w:bookmarkStart w:id="5" w:name="_Toc480381282"/>
      <w:r w:rsidRPr="004E07AE">
        <w:lastRenderedPageBreak/>
        <w:t>Subject of support</w:t>
      </w:r>
      <w:bookmarkEnd w:id="5"/>
    </w:p>
    <w:p w14:paraId="32821DD2" w14:textId="77777777" w:rsidR="004E07AE" w:rsidRPr="004E07AE" w:rsidRDefault="004E07AE" w:rsidP="004E07AE">
      <w:pPr>
        <w:pStyle w:val="Heading2"/>
      </w:pPr>
      <w:bookmarkStart w:id="6" w:name="_Toc480381283"/>
      <w:r w:rsidRPr="004E07AE">
        <w:t>General areas of support</w:t>
      </w:r>
      <w:bookmarkEnd w:id="6"/>
    </w:p>
    <w:p w14:paraId="44BED369" w14:textId="77777777" w:rsidR="004E07AE" w:rsidRPr="00961A66" w:rsidRDefault="004E07AE" w:rsidP="004E07AE">
      <w:pPr>
        <w:numPr>
          <w:ilvl w:val="0"/>
          <w:numId w:val="15"/>
        </w:numPr>
      </w:pPr>
      <w:r>
        <w:t xml:space="preserve">While little academic research draws directly on their own perspectives, much research has focused on areas of life in which people with disability might be at </w:t>
      </w:r>
      <w:r w:rsidRPr="00961A66">
        <w:t xml:space="preserve">risk of harm. A body of research has focused on areas including: </w:t>
      </w:r>
    </w:p>
    <w:p w14:paraId="67C13FFB" w14:textId="77777777" w:rsidR="004E07AE" w:rsidRPr="004E07AE" w:rsidRDefault="004E07AE" w:rsidP="004E07AE">
      <w:pPr>
        <w:pStyle w:val="ListBullet"/>
      </w:pPr>
      <w:r w:rsidRPr="00961A66">
        <w:t>Violence and d</w:t>
      </w:r>
      <w:r w:rsidRPr="004E07AE">
        <w:t xml:space="preserve">omestic abuse </w:t>
      </w:r>
      <w:r w:rsidRPr="004E07AE">
        <w:fldChar w:fldCharType="begin"/>
      </w:r>
      <w:r w:rsidRPr="004E07AE">
        <w:instrText xml:space="preserve"> ADDIN EN.CITE &lt;EndNote&gt;&lt;Cite&gt;&lt;Author&gt;Dixon&lt;/Author&gt;&lt;Year&gt;2015&lt;/Year&gt;&lt;RecNum&gt;23&lt;/RecNum&gt;&lt;DisplayText&gt;(Dixon and Robb, 2015, Frohmader et al., 2015)&lt;/DisplayText&gt;&lt;record&gt;&lt;rec-number&gt;23&lt;/rec-number&gt;&lt;foreign-keys&gt;&lt;key app="EN" db-id="e2pvpettoe5ddver2zlpspd00avfvwwf99z5"&gt;23&lt;/key&gt;&lt;/foreign-keys&gt;&lt;ref-type name="Journal Article"&gt;17&lt;/ref-type&gt;&lt;contributors&gt;&lt;authors&gt;&lt;author&gt;Dixon, Jeremy&lt;/author&gt;&lt;author&gt;Robb, Megan&lt;/author&gt;&lt;/authors&gt;&lt;/contributors&gt;&lt;titles&gt;&lt;title&gt;Working with women with a learning disability experiencing domestic abuse: How social workers can negotiate competing definitions of risk&lt;/title&gt;&lt;secondary-title&gt;British Journal of Social Work&lt;/secondary-title&gt;&lt;/titles&gt;&lt;periodical&gt;&lt;full-title&gt;British Journal of Social Work&lt;/full-title&gt;&lt;/periodical&gt;&lt;pages&gt;bcu149&lt;/pages&gt;&lt;dates&gt;&lt;year&gt;2015&lt;/year&gt;&lt;/dates&gt;&lt;isbn&gt;0045-3102&lt;/isbn&gt;&lt;urls&gt;&lt;/urls&gt;&lt;/record&gt;&lt;/Cite&gt;&lt;Cite&gt;&lt;Author&gt;Frohmader&lt;/Author&gt;&lt;Year&gt;2015&lt;/Year&gt;&lt;RecNum&gt;55&lt;/RecNum&gt;&lt;record&gt;&lt;rec-number&gt;55&lt;/rec-number&gt;&lt;foreign-keys&gt;&lt;key app="EN" db-id="e2pvpettoe5ddver2zlpspd00avfvwwf99z5"&gt;55&lt;/key&gt;&lt;/foreign-keys&gt;&lt;ref-type name="Report"&gt;27&lt;/ref-type&gt;&lt;contributors&gt;&lt;authors&gt;&lt;author&gt;Frohmader, C.&lt;/author&gt;&lt;author&gt;Dowse, L.&lt;/author&gt;&lt;author&gt;Didi, A. &lt;/author&gt;&lt;/authors&gt;&lt;/contributors&gt;&lt;titles&gt;&lt;title&gt;Preventing violence against women and girls with disabilities: Integrating a human rights approach&lt;/title&gt;&lt;/titles&gt;&lt;dates&gt;&lt;year&gt;2015&lt;/year&gt;&lt;/dates&gt;&lt;pub-location&gt;Hobart&lt;/pub-location&gt;&lt;publisher&gt;Women with Disabilities Australia&lt;/publisher&gt;&lt;urls&gt;&lt;/urls&gt;&lt;/record&gt;&lt;/Cite&gt;&lt;/EndNote&gt;</w:instrText>
      </w:r>
      <w:r w:rsidRPr="004E07AE">
        <w:fldChar w:fldCharType="separate"/>
      </w:r>
      <w:r w:rsidRPr="004E07AE">
        <w:t>(</w:t>
      </w:r>
      <w:hyperlink w:anchor="_ENREF_15" w:tooltip="Dixon, 2015 #23" w:history="1">
        <w:r w:rsidRPr="004E07AE">
          <w:t>Dixon and Robb, 2015</w:t>
        </w:r>
      </w:hyperlink>
      <w:r w:rsidRPr="004E07AE">
        <w:t xml:space="preserve">, </w:t>
      </w:r>
      <w:hyperlink w:anchor="_ENREF_19" w:tooltip="Frohmader, 2015 #55" w:history="1">
        <w:r w:rsidRPr="004E07AE">
          <w:t>Frohmader et al., 2015</w:t>
        </w:r>
      </w:hyperlink>
      <w:r w:rsidRPr="004E07AE">
        <w:t>)</w:t>
      </w:r>
      <w:r w:rsidRPr="004E07AE">
        <w:fldChar w:fldCharType="end"/>
      </w:r>
    </w:p>
    <w:p w14:paraId="7BC05C0B" w14:textId="77777777" w:rsidR="004E07AE" w:rsidRPr="004E07AE" w:rsidRDefault="004E07AE" w:rsidP="004E07AE">
      <w:pPr>
        <w:pStyle w:val="ListBullet"/>
      </w:pPr>
      <w:r w:rsidRPr="004E07AE">
        <w:t xml:space="preserve">Harm in close family relationships </w:t>
      </w:r>
      <w:r w:rsidRPr="004E07AE">
        <w:fldChar w:fldCharType="begin"/>
      </w:r>
      <w:r w:rsidRPr="004E07AE">
        <w:instrText xml:space="preserve"> ADDIN EN.CITE &lt;EndNote&gt;&lt;Cite&gt;&lt;Author&gt;Hughes&lt;/Author&gt;&lt;Year&gt;2011&lt;/Year&gt;&lt;RecNum&gt;56&lt;/RecNum&gt;&lt;DisplayText&gt;(Hughes et al., 2011, Daniel et al., 2013)&lt;/DisplayText&gt;&lt;record&gt;&lt;rec-number&gt;56&lt;/rec-number&gt;&lt;foreign-keys&gt;&lt;key app="EN" db-id="e2pvpettoe5ddver2zlpspd00avfvwwf99z5"&gt;56&lt;/key&gt;&lt;/foreign-keys&gt;&lt;ref-type name="Journal Article"&gt;17&lt;/ref-type&gt;&lt;contributors&gt;&lt;authors&gt;&lt;author&gt;Hughes, Rosemary B&lt;/author&gt;&lt;author&gt;Lund, Emily M&lt;/author&gt;&lt;author&gt;Gabrielli, Joy&lt;/author&gt;&lt;author&gt;Powers, Laurie E&lt;/author&gt;&lt;author&gt;Curry, Mary Ann&lt;/author&gt;&lt;/authors&gt;&lt;/contributors&gt;&lt;titles&gt;&lt;title&gt;Prevalence of interpersonal violence against community-living adults with disabilities: a literature review&lt;/title&gt;&lt;secondary-title&gt;Rehabilitation Psychology&lt;/secondary-title&gt;&lt;/titles&gt;&lt;periodical&gt;&lt;full-title&gt;Rehabilitation Psychology&lt;/full-title&gt;&lt;/periodical&gt;&lt;pages&gt;302&lt;/pages&gt;&lt;volume&gt;56&lt;/volume&gt;&lt;number&gt;4&lt;/number&gt;&lt;dates&gt;&lt;year&gt;2011&lt;/year&gt;&lt;/dates&gt;&lt;isbn&gt;1939-1544&lt;/isbn&gt;&lt;urls&gt;&lt;/urls&gt;&lt;/record&gt;&lt;/Cite&gt;&lt;Cite&gt;&lt;Author&gt;Daniel&lt;/Author&gt;&lt;Year&gt;2013&lt;/Year&gt;&lt;RecNum&gt;10&lt;/RecNum&gt;&lt;record&gt;&lt;rec-number&gt;10&lt;/rec-number&gt;&lt;foreign-keys&gt;&lt;key app="EN" db-id="e2pvpettoe5ddver2zlpspd00avfvwwf99z5"&gt;10&lt;/key&gt;&lt;/foreign-keys&gt;&lt;ref-type name="Journal Article"&gt;17&lt;/ref-type&gt;&lt;contributors&gt;&lt;authors&gt;&lt;author&gt;Daniel, Brigid&lt;/author&gt;&lt;author&gt;Cross, Beth&lt;/author&gt;&lt;author&gt;Sherwood-Johnson, Fiona&lt;/author&gt;&lt;author&gt;Paton, Diana&lt;/author&gt;&lt;/authors&gt;&lt;/contributors&gt;&lt;titles&gt;&lt;title&gt;Risk and decision making in adult support and protection practice: User views from participant research&lt;/title&gt;&lt;secondary-title&gt;British Journal of Social Work&lt;/secondary-title&gt;&lt;/titles&gt;&lt;periodical&gt;&lt;full-title&gt;British Journal of Social Work&lt;/full-title&gt;&lt;/periodical&gt;&lt;pages&gt;bct032&lt;/pages&gt;&lt;dates&gt;&lt;year&gt;2013&lt;/year&gt;&lt;/dates&gt;&lt;isbn&gt;0045-3102&lt;/isbn&gt;&lt;urls&gt;&lt;/urls&gt;&lt;/record&gt;&lt;/Cite&gt;&lt;/EndNote&gt;</w:instrText>
      </w:r>
      <w:r w:rsidRPr="004E07AE">
        <w:fldChar w:fldCharType="separate"/>
      </w:r>
      <w:r w:rsidRPr="004E07AE">
        <w:t>(</w:t>
      </w:r>
      <w:hyperlink w:anchor="_ENREF_25" w:tooltip="Hughes, 2011 #56" w:history="1">
        <w:r w:rsidRPr="004E07AE">
          <w:t>Hughes et al., 2011</w:t>
        </w:r>
      </w:hyperlink>
      <w:r w:rsidRPr="004E07AE">
        <w:t xml:space="preserve">, </w:t>
      </w:r>
      <w:hyperlink w:anchor="_ENREF_13" w:tooltip="Daniel, 2013 #10" w:history="1">
        <w:r w:rsidRPr="004E07AE">
          <w:t>Daniel et al., 2013</w:t>
        </w:r>
      </w:hyperlink>
      <w:r w:rsidRPr="004E07AE">
        <w:t>)</w:t>
      </w:r>
      <w:r w:rsidRPr="004E07AE">
        <w:fldChar w:fldCharType="end"/>
      </w:r>
    </w:p>
    <w:p w14:paraId="1D98065D" w14:textId="77777777" w:rsidR="004E07AE" w:rsidRPr="004E07AE" w:rsidRDefault="004E07AE" w:rsidP="004E07AE">
      <w:pPr>
        <w:pStyle w:val="ListBullet"/>
      </w:pPr>
      <w:r w:rsidRPr="004E07AE">
        <w:t xml:space="preserve">Harm from service providers </w:t>
      </w:r>
      <w:r w:rsidRPr="004E07AE">
        <w:fldChar w:fldCharType="begin"/>
      </w:r>
      <w:r w:rsidRPr="004E07AE">
        <w:instrText xml:space="preserve"> ADDIN EN.CITE &lt;EndNote&gt;&lt;Cite&gt;&lt;Author&gt;Saxton&lt;/Author&gt;&lt;Year&gt;2001&lt;/Year&gt;&lt;RecNum&gt;46&lt;/RecNum&gt;&lt;DisplayText&gt;(Saxton et al., 2001, Robinson and Chenoweth, 2011)&lt;/DisplayText&gt;&lt;record&gt;&lt;rec-number&gt;46&lt;/rec-number&gt;&lt;foreign-keys&gt;&lt;key app="EN" db-id="e2pvpettoe5ddver2zlpspd00avfvwwf99z5"&gt;46&lt;/key&gt;&lt;/foreign-keys&gt;&lt;ref-type name="Journal Article"&gt;17&lt;/ref-type&gt;&lt;contributors&gt;&lt;authors&gt;&lt;author&gt;Saxton, Marsha&lt;/author&gt;&lt;author&gt;Curry, Mary Ann&lt;/author&gt;&lt;author&gt;Powers, Laurie E&lt;/author&gt;&lt;author&gt;Maley, Susan&lt;/author&gt;&lt;author&gt;Eckels, Karyl&lt;/author&gt;&lt;author&gt;Gross, Jacqueline&lt;/author&gt;&lt;/authors&gt;&lt;/contributors&gt;&lt;titles&gt;&lt;title&gt;“Bring My Scooter So I Can Leave You” A Study of Disabled Women Handling Abuse by Personal Assistance Providers&lt;/title&gt;&lt;secondary-title&gt;Violence Against Women&lt;/secondary-title&gt;&lt;/titles&gt;&lt;periodical&gt;&lt;full-title&gt;Violence Against Women&lt;/full-title&gt;&lt;/periodical&gt;&lt;pages&gt;393-417&lt;/pages&gt;&lt;volume&gt;7&lt;/volume&gt;&lt;number&gt;4&lt;/number&gt;&lt;dates&gt;&lt;year&gt;2001&lt;/year&gt;&lt;/dates&gt;&lt;isbn&gt;1077-8012&lt;/isbn&gt;&lt;urls&gt;&lt;/urls&gt;&lt;/record&gt;&lt;/Cite&gt;&lt;Cite&gt;&lt;Author&gt;Robinson&lt;/Author&gt;&lt;Year&gt;2011&lt;/Year&gt;&lt;RecNum&gt;49&lt;/RecNum&gt;&lt;record&gt;&lt;rec-number&gt;49&lt;/rec-number&gt;&lt;foreign-keys&gt;&lt;key app="EN" db-id="e2pvpettoe5ddver2zlpspd00avfvwwf99z5"&gt;49&lt;/key&gt;&lt;/foreign-keys&gt;&lt;ref-type name="Journal Article"&gt;17&lt;/ref-type&gt;&lt;contributors&gt;&lt;authors&gt;&lt;author&gt;Robinson, Sally&lt;/author&gt;&lt;author&gt;Chenoweth, Lesley&lt;/author&gt;&lt;/authors&gt;&lt;/contributors&gt;&lt;titles&gt;&lt;title&gt;Preventing abuse in accommodation services: From procedural response to protective cultures&lt;/title&gt;&lt;secondary-title&gt;Journal of Intellectual Disabilities&lt;/secondary-title&gt;&lt;/titles&gt;&lt;periodical&gt;&lt;full-title&gt;Journal of Intellectual Disabilities&lt;/full-title&gt;&lt;/periodical&gt;&lt;pages&gt;63-74&lt;/pages&gt;&lt;volume&gt;15&lt;/volume&gt;&lt;number&gt;1&lt;/number&gt;&lt;dates&gt;&lt;year&gt;2011&lt;/year&gt;&lt;/dates&gt;&lt;isbn&gt;1744-6295&lt;/isbn&gt;&lt;urls&gt;&lt;/urls&gt;&lt;/record&gt;&lt;/Cite&gt;&lt;/EndNote&gt;</w:instrText>
      </w:r>
      <w:r w:rsidRPr="004E07AE">
        <w:fldChar w:fldCharType="separate"/>
      </w:r>
      <w:r w:rsidRPr="004E07AE">
        <w:t>(</w:t>
      </w:r>
      <w:hyperlink w:anchor="_ENREF_53" w:tooltip="Saxton, 2001 #46" w:history="1">
        <w:r w:rsidRPr="004E07AE">
          <w:t>Saxton et al., 2001</w:t>
        </w:r>
      </w:hyperlink>
      <w:r w:rsidRPr="004E07AE">
        <w:t xml:space="preserve">, </w:t>
      </w:r>
      <w:hyperlink w:anchor="_ENREF_52" w:tooltip="Robinson, 2011 #49" w:history="1">
        <w:r w:rsidRPr="004E07AE">
          <w:t>Robinson and Chenoweth, 2011</w:t>
        </w:r>
      </w:hyperlink>
      <w:r w:rsidRPr="004E07AE">
        <w:t>)</w:t>
      </w:r>
      <w:r w:rsidRPr="004E07AE">
        <w:fldChar w:fldCharType="end"/>
      </w:r>
    </w:p>
    <w:p w14:paraId="6C38D4B5" w14:textId="77777777" w:rsidR="004E07AE" w:rsidRPr="004E07AE" w:rsidRDefault="004E07AE" w:rsidP="004E07AE">
      <w:pPr>
        <w:pStyle w:val="ListBullet"/>
      </w:pPr>
      <w:r w:rsidRPr="004E07AE">
        <w:t xml:space="preserve">Exiting abusive relationships </w:t>
      </w:r>
      <w:r w:rsidRPr="004E07AE">
        <w:fldChar w:fldCharType="begin"/>
      </w:r>
      <w:r w:rsidRPr="004E07AE">
        <w:instrText xml:space="preserve"> ADDIN EN.CITE &lt;EndNote&gt;&lt;Cite&gt;&lt;Author&gt;Warrington&lt;/Author&gt;&lt;Year&gt;2013&lt;/Year&gt;&lt;RecNum&gt;4&lt;/RecNum&gt;&lt;DisplayText&gt;(Warrington, 2013, Frawley and Bigby, 2014)&lt;/DisplayText&gt;&lt;record&gt;&lt;rec-number&gt;4&lt;/rec-number&gt;&lt;foreign-keys&gt;&lt;key app="EN" db-id="e2pvpettoe5ddver2zlpspd00avfvwwf99z5"&gt;4&lt;/key&gt;&lt;/foreign-keys&gt;&lt;ref-type name="Book Section"&gt;5&lt;/ref-type&gt;&lt;contributors&gt;&lt;authors&gt;&lt;author&gt;Warrington, Camille&lt;/author&gt;&lt;/authors&gt;&lt;/contributors&gt;&lt;titles&gt;&lt;title&gt;Partners in Care? Sexually Exploited Young People’s Inclusion and Exclusion from Decision Making about Safeguarding&lt;/title&gt;&lt;secondary-title&gt;Critical Perspectives on Child Sexual Exploitation and Related Trafficking&lt;/secondary-title&gt;&lt;/titles&gt;&lt;pages&gt;110-124&lt;/pages&gt;&lt;dates&gt;&lt;year&gt;2013&lt;/year&gt;&lt;/dates&gt;&lt;publisher&gt;Springer&lt;/publisher&gt;&lt;urls&gt;&lt;/urls&gt;&lt;/record&gt;&lt;/Cite&gt;&lt;Cite&gt;&lt;Author&gt;Frawley&lt;/Author&gt;&lt;Year&gt;2014&lt;/Year&gt;&lt;RecNum&gt;38&lt;/RecNum&gt;&lt;record&gt;&lt;rec-number&gt;38&lt;/rec-number&gt;&lt;foreign-keys&gt;&lt;key app="EN" db-id="e2pvpettoe5ddver2zlpspd00avfvwwf99z5"&gt;38&lt;/key&gt;&lt;/foreign-keys&gt;&lt;ref-type name="Journal Article"&gt;17&lt;/ref-type&gt;&lt;contributors&gt;&lt;authors&gt;&lt;author&gt;Frawley, Patsie&lt;/author&gt;&lt;author&gt;Bigby, Christine&lt;/author&gt;&lt;/authors&gt;&lt;/contributors&gt;&lt;titles&gt;&lt;title&gt;“I&amp;apos;m in their shoes”: Experiences of peer educators in sexuality and relationship education&lt;/title&gt;&lt;secondary-title&gt;Journal of intellectual and developmental disability&lt;/secondary-title&gt;&lt;/titles&gt;&lt;periodical&gt;&lt;full-title&gt;Journal of Intellectual and Developmental Disability&lt;/full-title&gt;&lt;/periodical&gt;&lt;pages&gt;167-176&lt;/pages&gt;&lt;volume&gt;39&lt;/volume&gt;&lt;number&gt;2&lt;/number&gt;&lt;dates&gt;&lt;year&gt;2014&lt;/year&gt;&lt;/dates&gt;&lt;isbn&gt;1366-8250&lt;/isbn&gt;&lt;urls&gt;&lt;/urls&gt;&lt;/record&gt;&lt;/Cite&gt;&lt;/EndNote&gt;</w:instrText>
      </w:r>
      <w:r w:rsidRPr="004E07AE">
        <w:fldChar w:fldCharType="separate"/>
      </w:r>
      <w:r w:rsidRPr="004E07AE">
        <w:t>(</w:t>
      </w:r>
      <w:hyperlink w:anchor="_ENREF_59" w:tooltip="Warrington, 2013 #4" w:history="1">
        <w:r w:rsidRPr="004E07AE">
          <w:t>Warrington, 2013</w:t>
        </w:r>
      </w:hyperlink>
      <w:r w:rsidRPr="004E07AE">
        <w:t xml:space="preserve">, </w:t>
      </w:r>
      <w:hyperlink w:anchor="_ENREF_17" w:tooltip="Frawley, 2014 #38" w:history="1">
        <w:r w:rsidRPr="004E07AE">
          <w:t>Frawley and Bigby, 2014</w:t>
        </w:r>
      </w:hyperlink>
      <w:r w:rsidRPr="004E07AE">
        <w:t>)</w:t>
      </w:r>
      <w:r w:rsidRPr="004E07AE">
        <w:fldChar w:fldCharType="end"/>
      </w:r>
    </w:p>
    <w:p w14:paraId="5B450310" w14:textId="77777777" w:rsidR="004E07AE" w:rsidRPr="004E07AE" w:rsidRDefault="004E07AE" w:rsidP="004E07AE">
      <w:pPr>
        <w:pStyle w:val="ListBullet"/>
      </w:pPr>
      <w:r w:rsidRPr="00961A66">
        <w:t xml:space="preserve">Sexual abuse and exploitation </w:t>
      </w:r>
      <w:r w:rsidRPr="004E07AE">
        <w:fldChar w:fldCharType="begin"/>
      </w:r>
      <w:r w:rsidRPr="004E07AE">
        <w:instrText xml:space="preserve"> ADDIN EN.CITE &lt;EndNote&gt;&lt;Cite&gt;&lt;Author&gt;Warrington&lt;/Author&gt;&lt;Year&gt;2013&lt;/Year&gt;&lt;RecNum&gt;4&lt;/RecNum&gt;&lt;DisplayText&gt;(Warrington, 2013)&lt;/DisplayText&gt;&lt;record&gt;&lt;rec-number&gt;4&lt;/rec-number&gt;&lt;foreign-keys&gt;&lt;key app="EN" db-id="e2pvpettoe5ddver2zlpspd00avfvwwf99z5"&gt;4&lt;/key&gt;&lt;/foreign-keys&gt;&lt;ref-type name="Book Section"&gt;5&lt;/ref-type&gt;&lt;contributors&gt;&lt;authors&gt;&lt;author&gt;Warrington, Camille&lt;/author&gt;&lt;/authors&gt;&lt;/contributors&gt;&lt;titles&gt;&lt;title&gt;Partners in Care? Sexually Exploited Young People’s Inclusion and Exclusion from Decision Making about Safeguarding&lt;/title&gt;&lt;secondary-title&gt;Critical Perspectives on Child Sexual Exploitation and Related Trafficking&lt;/secondary-title&gt;&lt;/titles&gt;&lt;pages&gt;110-124&lt;/pages&gt;&lt;dates&gt;&lt;year&gt;2013&lt;/year&gt;&lt;/dates&gt;&lt;publisher&gt;Springer&lt;/publisher&gt;&lt;urls&gt;&lt;/urls&gt;&lt;/record&gt;&lt;/Cite&gt;&lt;/EndNote&gt;</w:instrText>
      </w:r>
      <w:r w:rsidRPr="004E07AE">
        <w:fldChar w:fldCharType="separate"/>
      </w:r>
      <w:r w:rsidRPr="004E07AE">
        <w:t>(</w:t>
      </w:r>
      <w:hyperlink w:anchor="_ENREF_59" w:tooltip="Warrington, 2013 #4" w:history="1">
        <w:r w:rsidRPr="004E07AE">
          <w:t>Warrington, 2013</w:t>
        </w:r>
      </w:hyperlink>
      <w:r w:rsidRPr="004E07AE">
        <w:t>)</w:t>
      </w:r>
      <w:r w:rsidRPr="004E07AE">
        <w:fldChar w:fldCharType="end"/>
      </w:r>
      <w:r w:rsidRPr="004E07AE">
        <w:t xml:space="preserve"> </w:t>
      </w:r>
    </w:p>
    <w:p w14:paraId="01935874" w14:textId="77777777" w:rsidR="004E07AE" w:rsidRPr="004E07AE" w:rsidRDefault="004E07AE" w:rsidP="004E07AE">
      <w:pPr>
        <w:pStyle w:val="ListBullet"/>
      </w:pPr>
      <w:r>
        <w:t xml:space="preserve">Exposure to sexually transmitted diseases </w:t>
      </w:r>
      <w:r w:rsidRPr="004E07AE">
        <w:fldChar w:fldCharType="begin"/>
      </w:r>
      <w:r w:rsidRPr="004E07AE">
        <w:instrText xml:space="preserve"> ADDIN EN.CITE &lt;EndNote&gt;&lt;Cite&gt;&lt;Author&gt;Cambridge&lt;/Author&gt;&lt;Year&gt;1998&lt;/Year&gt;&lt;RecNum&gt;34&lt;/RecNum&gt;&lt;DisplayText&gt;(Cambridge, 1998)&lt;/DisplayText&gt;&lt;record&gt;&lt;rec-number&gt;34&lt;/rec-number&gt;&lt;foreign-keys&gt;&lt;key app="EN" db-id="e2pvpettoe5ddver2zlpspd00avfvwwf99z5"&gt;34&lt;/key&gt;&lt;/foreign-keys&gt;&lt;ref-type name="Journal Article"&gt;17&lt;/ref-type&gt;&lt;contributors&gt;&lt;authors&gt;&lt;author&gt;Cambridge, Paul&lt;/author&gt;&lt;/authors&gt;&lt;/contributors&gt;&lt;titles&gt;&lt;title&gt;Challenges for safer sex education and HIV prevention in services for people with intellectual disabilities in Britain&lt;/title&gt;&lt;secondary-title&gt;Health Promotion International&lt;/secondary-title&gt;&lt;/titles&gt;&lt;periodical&gt;&lt;full-title&gt;Health Promotion International&lt;/full-title&gt;&lt;/periodical&gt;&lt;pages&gt;67-74&lt;/pages&gt;&lt;volume&gt;13&lt;/volume&gt;&lt;number&gt;1&lt;/number&gt;&lt;dates&gt;&lt;year&gt;1998&lt;/year&gt;&lt;/dates&gt;&lt;isbn&gt;0957-4824&lt;/isbn&gt;&lt;urls&gt;&lt;/urls&gt;&lt;/record&gt;&lt;/Cite&gt;&lt;/EndNote&gt;</w:instrText>
      </w:r>
      <w:r w:rsidRPr="004E07AE">
        <w:fldChar w:fldCharType="separate"/>
      </w:r>
      <w:r w:rsidRPr="004E07AE">
        <w:t>(</w:t>
      </w:r>
      <w:hyperlink w:anchor="_ENREF_6" w:tooltip="Cambridge, 1998 #34" w:history="1">
        <w:r w:rsidRPr="004E07AE">
          <w:t>Cambridge, 1998</w:t>
        </w:r>
      </w:hyperlink>
      <w:r w:rsidRPr="004E07AE">
        <w:t>)</w:t>
      </w:r>
      <w:r w:rsidRPr="004E07AE">
        <w:fldChar w:fldCharType="end"/>
      </w:r>
    </w:p>
    <w:p w14:paraId="0CB5133D" w14:textId="77777777" w:rsidR="004E07AE" w:rsidRPr="004E07AE" w:rsidRDefault="004E07AE" w:rsidP="004E07AE">
      <w:pPr>
        <w:pStyle w:val="ListBullet"/>
      </w:pPr>
      <w:r w:rsidRPr="00697318">
        <w:t>Neglect</w:t>
      </w:r>
      <w:r w:rsidRPr="004E07AE">
        <w:t xml:space="preserve"> </w:t>
      </w:r>
      <w:r w:rsidRPr="004E07AE">
        <w:fldChar w:fldCharType="begin"/>
      </w:r>
      <w:r w:rsidRPr="004E07AE">
        <w:instrText xml:space="preserve"> ADDIN EN.CITE &lt;EndNote&gt;&lt;Cite&gt;&lt;Author&gt;Jenkins&lt;/Author&gt;&lt;Year&gt;2006&lt;/Year&gt;&lt;RecNum&gt;57&lt;/RecNum&gt;&lt;DisplayText&gt;(Jenkins and Davies, 2006, Hernon et al., 2015)&lt;/DisplayText&gt;&lt;record&gt;&lt;rec-number&gt;57&lt;/rec-number&gt;&lt;foreign-keys&gt;&lt;key app="EN" db-id="e2pvpettoe5ddver2zlpspd00avfvwwf99z5"&gt;57&lt;/key&gt;&lt;/foreign-keys&gt;&lt;ref-type name="Journal Article"&gt;17&lt;/ref-type&gt;&lt;contributors&gt;&lt;authors&gt;&lt;author&gt;Jenkins, Robert&lt;/author&gt;&lt;author&gt;Davies, Rachel&lt;/author&gt;&lt;/authors&gt;&lt;/contributors&gt;&lt;titles&gt;&lt;title&gt;Neglect of people with intellectual disabilities: A failure to act?&lt;/title&gt;&lt;secondary-title&gt;Journal of Intellectual Disabilities&lt;/secondary-title&gt;&lt;/titles&gt;&lt;periodical&gt;&lt;full-title&gt;Journal of Intellectual Disabilities&lt;/full-title&gt;&lt;/periodical&gt;&lt;pages&gt;35-45&lt;/pages&gt;&lt;volume&gt;10&lt;/volume&gt;&lt;number&gt;1&lt;/number&gt;&lt;dates&gt;&lt;year&gt;2006&lt;/year&gt;&lt;/dates&gt;&lt;isbn&gt;1744-6295&lt;/isbn&gt;&lt;urls&gt;&lt;/urls&gt;&lt;/record&gt;&lt;/Cite&gt;&lt;Cite&gt;&lt;Author&gt;Hernon&lt;/Author&gt;&lt;Year&gt;2015&lt;/Year&gt;&lt;RecNum&gt;40&lt;/RecNum&gt;&lt;record&gt;&lt;rec-number&gt;40&lt;/rec-number&gt;&lt;foreign-keys&gt;&lt;key app="EN" db-id="e2pvpettoe5ddver2zlpspd00avfvwwf99z5"&gt;40&lt;/key&gt;&lt;/foreign-keys&gt;&lt;ref-type name="Journal Article"&gt;17&lt;/ref-type&gt;&lt;contributors&gt;&lt;authors&gt;&lt;author&gt;Hernon, Jane&lt;/author&gt;&lt;author&gt;Brandon, Marian&lt;/author&gt;&lt;author&gt;Cossar, Jeanette&lt;/author&gt;&lt;author&gt;Shakespeare, Tom&lt;/author&gt;&lt;/authors&gt;&lt;/contributors&gt;&lt;titles&gt;&lt;title&gt;Recognising and responding to the maltreatment of disabled children: A children’s rights approach&lt;/title&gt;&lt;secondary-title&gt;Social Work and Social Sciences Review&lt;/secondary-title&gt;&lt;/titles&gt;&lt;periodical&gt;&lt;full-title&gt;Social Work and Social Sciences Review&lt;/full-title&gt;&lt;/periodical&gt;&lt;pages&gt;61-77&lt;/pages&gt;&lt;volume&gt;17&lt;/volume&gt;&lt;number&gt;3&lt;/number&gt;&lt;dates&gt;&lt;year&gt;2015&lt;/year&gt;&lt;/dates&gt;&lt;isbn&gt;1746-6105&lt;/isbn&gt;&lt;urls&gt;&lt;/urls&gt;&lt;/record&gt;&lt;/Cite&gt;&lt;/EndNote&gt;</w:instrText>
      </w:r>
      <w:r w:rsidRPr="004E07AE">
        <w:fldChar w:fldCharType="separate"/>
      </w:r>
      <w:r w:rsidRPr="004E07AE">
        <w:t>(</w:t>
      </w:r>
      <w:hyperlink w:anchor="_ENREF_26" w:tooltip="Jenkins, 2006 #57" w:history="1">
        <w:r w:rsidRPr="004E07AE">
          <w:t>Jenkins and Davies, 2006</w:t>
        </w:r>
      </w:hyperlink>
      <w:r w:rsidRPr="004E07AE">
        <w:t xml:space="preserve">, </w:t>
      </w:r>
      <w:hyperlink w:anchor="_ENREF_23" w:tooltip="Hernon, 2015 #40" w:history="1">
        <w:r w:rsidRPr="004E07AE">
          <w:t>Hernon et al., 2015</w:t>
        </w:r>
      </w:hyperlink>
      <w:r w:rsidRPr="004E07AE">
        <w:t>)</w:t>
      </w:r>
      <w:r w:rsidRPr="004E07AE">
        <w:fldChar w:fldCharType="end"/>
      </w:r>
    </w:p>
    <w:p w14:paraId="19AFCE60" w14:textId="77777777" w:rsidR="004E07AE" w:rsidRPr="004E07AE" w:rsidRDefault="004E07AE" w:rsidP="004E07AE">
      <w:pPr>
        <w:pStyle w:val="ListBullet"/>
      </w:pPr>
      <w:r w:rsidRPr="00961A66">
        <w:t xml:space="preserve">Bullying </w:t>
      </w:r>
      <w:r w:rsidRPr="004E07AE">
        <w:fldChar w:fldCharType="begin"/>
      </w:r>
      <w:r w:rsidRPr="004E07AE">
        <w:instrText xml:space="preserve"> ADDIN EN.CITE &lt;EndNote&gt;&lt;Cite&gt;&lt;Author&gt;Northway&lt;/Author&gt;&lt;Year&gt;2013&lt;/Year&gt;&lt;RecNum&gt;22&lt;/RecNum&gt;&lt;Prefix&gt;McGrath`, Jones and Hastings (2010) as cited in &lt;/Prefix&gt;&lt;DisplayText&gt;(McGrath, Jones and Hastings (2010) as cited in Northway et al., 2013a, Bourke and Burgman, 2010)&lt;/DisplayText&gt;&lt;record&gt;&lt;rec-number&gt;22&lt;/rec-number&gt;&lt;foreign-keys&gt;&lt;key app="EN" db-id="e2pvpettoe5ddver2zlpspd00avfvwwf99z5"&gt;22&lt;/key&gt;&lt;/foreign-keys&gt;&lt;ref-type name="Journal Article"&gt;17&lt;/ref-type&gt;&lt;contributors&gt;&lt;authors&gt;&lt;author&gt;Northway, Ruth&lt;/author&gt;&lt;author&gt;Bennett, Davey&lt;/author&gt;&lt;author&gt;Melsome, Mel&lt;/author&gt;&lt;author&gt;Flood, Samantha&lt;/author&gt;&lt;author&gt;Howarth, Joyce&lt;/author&gt;&lt;author&gt;Jones, Richard&lt;/author&gt;&lt;/authors&gt;&lt;/contributors&gt;&lt;titles&gt;&lt;title&gt;Keeping safe and providing support: a participatory survey about abuse and people with intellectual disabilities&lt;/title&gt;&lt;secondary-title&gt;Journal of Policy and Practice in Intellectual Disabilities&lt;/secondary-title&gt;&lt;/titles&gt;&lt;periodical&gt;&lt;full-title&gt;Journal of Policy and Practice in Intellectual Disabilities&lt;/full-title&gt;&lt;/periodical&gt;&lt;pages&gt;236-244&lt;/pages&gt;&lt;volume&gt;10&lt;/volume&gt;&lt;number&gt;3&lt;/number&gt;&lt;dates&gt;&lt;year&gt;2013&lt;/year&gt;&lt;/dates&gt;&lt;isbn&gt;1741-1130&lt;/isbn&gt;&lt;urls&gt;&lt;/urls&gt;&lt;/record&gt;&lt;/Cite&gt;&lt;Cite&gt;&lt;Author&gt;Bourke&lt;/Author&gt;&lt;Year&gt;2010&lt;/Year&gt;&lt;RecNum&gt;58&lt;/RecNum&gt;&lt;record&gt;&lt;rec-number&gt;58&lt;/rec-number&gt;&lt;foreign-keys&gt;&lt;key app="EN" db-id="e2pvpettoe5ddver2zlpspd00avfvwwf99z5"&gt;58&lt;/key&gt;&lt;/foreign-keys&gt;&lt;ref-type name="Journal Article"&gt;17&lt;/ref-type&gt;&lt;contributors&gt;&lt;authors&gt;&lt;author&gt;Bourke, Susannah&lt;/author&gt;&lt;author&gt;Burgman, Imelda&lt;/author&gt;&lt;/authors&gt;&lt;/contributors&gt;&lt;titles&gt;&lt;title&gt;Coping with bullying in Australian schools: how children with disabilities experience support from friends, parents and teachers&lt;/title&gt;&lt;secondary-title&gt;Disability &amp;amp; Society&lt;/secondary-title&gt;&lt;/titles&gt;&lt;periodical&gt;&lt;full-title&gt;Disability &amp;amp; Society&lt;/full-title&gt;&lt;/periodical&gt;&lt;pages&gt;359-371&lt;/pages&gt;&lt;volume&gt;25&lt;/volume&gt;&lt;number&gt;3&lt;/number&gt;&lt;dates&gt;&lt;year&gt;2010&lt;/year&gt;&lt;/dates&gt;&lt;isbn&gt;0968-7599&lt;/isbn&gt;&lt;urls&gt;&lt;/urls&gt;&lt;/record&gt;&lt;/Cite&gt;&lt;/EndNote&gt;</w:instrText>
      </w:r>
      <w:r w:rsidRPr="004E07AE">
        <w:fldChar w:fldCharType="separate"/>
      </w:r>
      <w:r w:rsidRPr="004E07AE">
        <w:t xml:space="preserve">(McGrath, Jones and Hastings (2010) as cited in </w:t>
      </w:r>
      <w:hyperlink w:anchor="_ENREF_40" w:tooltip="Northway, 2013 #22" w:history="1">
        <w:r w:rsidRPr="004E07AE">
          <w:t>Northway et al., 2013a</w:t>
        </w:r>
      </w:hyperlink>
      <w:r w:rsidRPr="004E07AE">
        <w:t xml:space="preserve">, </w:t>
      </w:r>
      <w:hyperlink w:anchor="_ENREF_2" w:tooltip="Bourke, 2010 #58" w:history="1">
        <w:r w:rsidRPr="004E07AE">
          <w:t>Bourke and Burgman, 2010</w:t>
        </w:r>
      </w:hyperlink>
      <w:r w:rsidRPr="004E07AE">
        <w:t>)</w:t>
      </w:r>
      <w:r w:rsidRPr="004E07AE">
        <w:fldChar w:fldCharType="end"/>
      </w:r>
    </w:p>
    <w:p w14:paraId="088CF53C" w14:textId="77777777" w:rsidR="004E07AE" w:rsidRPr="004E07AE" w:rsidRDefault="004E07AE" w:rsidP="004E07AE">
      <w:pPr>
        <w:pStyle w:val="ListBullet"/>
      </w:pPr>
      <w:r w:rsidRPr="004E07AE">
        <w:t xml:space="preserve">Hate crime </w:t>
      </w:r>
      <w:r w:rsidRPr="004E07AE">
        <w:fldChar w:fldCharType="begin"/>
      </w:r>
      <w:r w:rsidRPr="004E07AE">
        <w:instrText xml:space="preserve"> ADDIN EN.CITE &lt;EndNote&gt;&lt;Cite&gt;&lt;Author&gt;Goodley&lt;/Author&gt;&lt;Year&gt;2011&lt;/Year&gt;&lt;RecNum&gt;39&lt;/RecNum&gt;&lt;DisplayText&gt;(Goodley and Runswick</w:instrText>
      </w:r>
      <w:r w:rsidRPr="004E07AE">
        <w:rPr>
          <w:rFonts w:ascii="Cambria Math" w:hAnsi="Cambria Math" w:cs="Cambria Math"/>
        </w:rPr>
        <w:instrText>‐</w:instrText>
      </w:r>
      <w:r w:rsidRPr="004E07AE">
        <w:instrText>Cole, 2011, Richardson et al., 2016)&lt;/DisplayText&gt;&lt;record&gt;&lt;rec-number&gt;39&lt;/rec-number&gt;&lt;foreign-keys&gt;&lt;key app="EN" db-id="e2pvpettoe5ddver2zlpspd00avfvwwf99z5"&gt;39&lt;/key&gt;&lt;/foreign-keys&gt;&lt;ref-type name="Journal Article"&gt;17&lt;/ref-type&gt;&lt;contributors&gt;&lt;authors&gt;&lt;author&gt;Goodley, Dan&lt;/author&gt;&lt;author&gt;Runswick</w:instrText>
      </w:r>
      <w:r w:rsidRPr="004E07AE">
        <w:rPr>
          <w:rFonts w:ascii="Cambria Math" w:hAnsi="Cambria Math" w:cs="Cambria Math"/>
        </w:rPr>
        <w:instrText>‐</w:instrText>
      </w:r>
      <w:r w:rsidRPr="004E07AE">
        <w:instrText>Cole, Katherine&lt;/author&gt;&lt;/authors&gt;&lt;/contributors&gt;&lt;titles&gt;&lt;title&gt;The violence of disablism&lt;/title&gt;&lt;secondary-title&gt;Sociology of health &amp;amp; illness&lt;/secondary-title&gt;&lt;/titles&gt;&lt;periodical&gt;&lt;full-title&gt;Sociology of health &amp;amp; illness&lt;/full-title&gt;&lt;/periodical&gt;&lt;pages&gt;602-617&lt;/pages&gt;&lt;volume&gt;33&lt;/volume&gt;&lt;number&gt;4&lt;/number&gt;&lt;dates&gt;&lt;year&gt;2011&lt;/year&gt;&lt;/dates&gt;&lt;isbn&gt;1467-9566&lt;/isbn&gt;&lt;urls&gt;&lt;/urls&gt;&lt;/record&gt;&lt;/Cite&gt;&lt;Cite&gt;&lt;Author&gt;Richardson&lt;/Author&gt;&lt;Year&gt;2016&lt;/Year&gt;&lt;RecNum&gt;45&lt;/RecNum&gt;&lt;record&gt;&lt;rec-number&gt;45&lt;/rec-number&gt;&lt;foreign-keys&gt;&lt;key app="EN" db-id="e2pvpettoe5ddver2zlpspd00avfvwwf99z5"&gt;45&lt;/key&gt;&lt;/foreign-keys&gt;&lt;ref-type name="Journal Article"&gt;17&lt;/ref-type&gt;&lt;contributors&gt;&lt;authors&gt;&lt;author&gt;Richardson, Lisa&lt;/author&gt;&lt;author&gt;Beadle-Brown, Julie&lt;/author&gt;&lt;author&gt;Bradshaw, Jill&lt;/author&gt;&lt;author&gt;Guest, Colin&lt;/author&gt;&lt;author&gt;Malovic, Aida&lt;/author&gt;&lt;author&gt;Himmerich, Julian&lt;/author&gt;&lt;/authors&gt;&lt;/contributors&gt;&lt;titles&gt;&lt;title&gt;“I felt that I deserved it”–experiences and implications of disability hate crime&lt;/title&gt;&lt;secondary-title&gt;Tizard Learning Disability Review&lt;/secondary-title&gt;&lt;/titles&gt;&lt;periodical&gt;&lt;full-title&gt;Tizard Learning Disability Review&lt;/full-title&gt;&lt;/periodical&gt;&lt;pages&gt;80-88&lt;/pages&gt;&lt;volume&gt;21&lt;/volume&gt;&lt;number&gt;2&lt;/number&gt;&lt;dates&gt;&lt;year&gt;2016&lt;/year&gt;&lt;/dates&gt;&lt;isbn&gt;1359-5474&lt;/isbn&gt;&lt;urls&gt;&lt;/urls&gt;&lt;/record&gt;&lt;/Cite&gt;&lt;/EndNote&gt;</w:instrText>
      </w:r>
      <w:r w:rsidRPr="004E07AE">
        <w:fldChar w:fldCharType="separate"/>
      </w:r>
      <w:r w:rsidRPr="004E07AE">
        <w:t>(</w:t>
      </w:r>
      <w:hyperlink w:anchor="_ENREF_21" w:tooltip="Goodley, 2011 #39" w:history="1">
        <w:r w:rsidRPr="004E07AE">
          <w:t>Goodley and Runswick</w:t>
        </w:r>
        <w:r w:rsidRPr="004E07AE">
          <w:rPr>
            <w:rFonts w:ascii="Cambria Math" w:hAnsi="Cambria Math" w:cs="Cambria Math"/>
          </w:rPr>
          <w:t>‐</w:t>
        </w:r>
        <w:r w:rsidRPr="004E07AE">
          <w:t>Cole, 2011</w:t>
        </w:r>
      </w:hyperlink>
      <w:r w:rsidRPr="004E07AE">
        <w:t xml:space="preserve">, </w:t>
      </w:r>
      <w:hyperlink w:anchor="_ENREF_47" w:tooltip="Richardson, 2016 #45" w:history="1">
        <w:r w:rsidRPr="004E07AE">
          <w:t>Richardson et al., 2016</w:t>
        </w:r>
      </w:hyperlink>
      <w:r w:rsidRPr="004E07AE">
        <w:t>)</w:t>
      </w:r>
      <w:r w:rsidRPr="004E07AE">
        <w:fldChar w:fldCharType="end"/>
      </w:r>
    </w:p>
    <w:p w14:paraId="22A8AB0B" w14:textId="77777777" w:rsidR="004E07AE" w:rsidRPr="004E07AE" w:rsidRDefault="004E07AE" w:rsidP="004E07AE">
      <w:pPr>
        <w:pStyle w:val="ListBullet"/>
      </w:pPr>
      <w:r w:rsidRPr="00961A66">
        <w:t xml:space="preserve">Financial abuse </w:t>
      </w:r>
      <w:r w:rsidRPr="004E07AE">
        <w:fldChar w:fldCharType="begin"/>
      </w:r>
      <w:r w:rsidRPr="004E07AE">
        <w:instrText xml:space="preserve"> ADDIN EN.CITE &lt;EndNote&gt;&lt;Cite&gt;&lt;Author&gt;Manthorpe&lt;/Author&gt;&lt;Year&gt;2013&lt;/Year&gt;&lt;RecNum&gt;12&lt;/RecNum&gt;&lt;DisplayText&gt;(Manthorpe and Samsi, 2013, Junne and Huber, 2014)&lt;/DisplayText&gt;&lt;record&gt;&lt;rec-number&gt;12&lt;/rec-number&gt;&lt;foreign-keys&gt;&lt;key app="EN" db-id="e2pvpettoe5ddver2zlpspd00avfvwwf99z5"&gt;12&lt;/key&gt;&lt;/foreign-keys&gt;&lt;ref-type name="Journal Article"&gt;17&lt;/ref-type&gt;&lt;contributors&gt;&lt;authors&gt;&lt;author&gt;Manthorpe, Jill&lt;/author&gt;&lt;author&gt;Samsi, Kritika&lt;/author&gt;&lt;/authors&gt;&lt;/contributors&gt;&lt;titles&gt;&lt;title&gt;‘Inherently Risky?’: personal budgets for people with dementia and the risks of financial abuse: findings from an interview-based study with adult safeguarding coordinators&lt;/title&gt;&lt;secondary-title&gt;British Journal of Social Work&lt;/secondary-title&gt;&lt;/titles&gt;&lt;periodical&gt;&lt;full-title&gt;British Journal of Social Work&lt;/full-title&gt;&lt;/periodical&gt;&lt;pages&gt;889-903&lt;/pages&gt;&lt;volume&gt;43&lt;/volume&gt;&lt;number&gt;5&lt;/number&gt;&lt;dates&gt;&lt;year&gt;2013&lt;/year&gt;&lt;/dates&gt;&lt;isbn&gt;0045-3102&lt;/isbn&gt;&lt;urls&gt;&lt;/urls&gt;&lt;/record&gt;&lt;/Cite&gt;&lt;Cite&gt;&lt;Author&gt;Junne&lt;/Author&gt;&lt;Year&gt;2014&lt;/Year&gt;&lt;RecNum&gt;19&lt;/RecNum&gt;&lt;record&gt;&lt;rec-number&gt;19&lt;/rec-number&gt;&lt;foreign-keys&gt;&lt;key app="EN" db-id="e2pvpettoe5ddver2zlpspd00avfvwwf99z5"&gt;19&lt;/key&gt;&lt;/foreign-keys&gt;&lt;ref-type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isbn&gt;1369-8575&lt;/isbn&gt;&lt;urls&gt;&lt;/urls&gt;&lt;/record&gt;&lt;/Cite&gt;&lt;/EndNote&gt;</w:instrText>
      </w:r>
      <w:r w:rsidRPr="004E07AE">
        <w:fldChar w:fldCharType="separate"/>
      </w:r>
      <w:r w:rsidRPr="004E07AE">
        <w:t>(</w:t>
      </w:r>
      <w:hyperlink w:anchor="_ENREF_32" w:tooltip="Manthorpe, 2013 #12" w:history="1">
        <w:r w:rsidRPr="004E07AE">
          <w:t>Manthorpe and Samsi, 2013</w:t>
        </w:r>
      </w:hyperlink>
      <w:r w:rsidRPr="004E07AE">
        <w:t xml:space="preserve">, </w:t>
      </w:r>
      <w:hyperlink w:anchor="_ENREF_27" w:tooltip="Junne, 2014 #19" w:history="1">
        <w:r w:rsidRPr="004E07AE">
          <w:t>Junne and Huber, 2014</w:t>
        </w:r>
      </w:hyperlink>
      <w:r w:rsidRPr="004E07AE">
        <w:t>)</w:t>
      </w:r>
      <w:r w:rsidRPr="004E07AE">
        <w:fldChar w:fldCharType="end"/>
      </w:r>
      <w:r w:rsidRPr="004E07AE">
        <w:t xml:space="preserve"> </w:t>
      </w:r>
    </w:p>
    <w:p w14:paraId="3BB69595" w14:textId="77777777" w:rsidR="004E07AE" w:rsidRPr="004E07AE" w:rsidRDefault="004E07AE" w:rsidP="004E07AE">
      <w:pPr>
        <w:pStyle w:val="ListBullet"/>
      </w:pPr>
      <w:r w:rsidRPr="00961A66">
        <w:t xml:space="preserve">Legal troubles </w:t>
      </w:r>
      <w:r w:rsidRPr="004E07AE">
        <w:fldChar w:fldCharType="begin"/>
      </w:r>
      <w:r w:rsidRPr="004E07AE">
        <w:instrText xml:space="preserve"> ADDIN EN.CITE &lt;EndNote&gt;&lt;Cite&gt;&lt;Author&gt;Northway&lt;/Author&gt;&lt;Year&gt;2013&lt;/Year&gt;&lt;RecNum&gt;22&lt;/RecNum&gt;&lt;DisplayText&gt;(Northway et al., 2013a, French et al., 2010 )&lt;/DisplayText&gt;&lt;record&gt;&lt;rec-number&gt;22&lt;/rec-number&gt;&lt;foreign-keys&gt;&lt;key app="EN" db-id="e2pvpettoe5ddver2zlpspd00avfvwwf99z5"&gt;22&lt;/key&gt;&lt;/foreign-keys&gt;&lt;ref-type name="Journal Article"&gt;17&lt;/ref-type&gt;&lt;contributors&gt;&lt;authors&gt;&lt;author&gt;Northway, Ruth&lt;/author&gt;&lt;author&gt;Bennett, Davey&lt;/author&gt;&lt;author&gt;Melsome, Mel&lt;/author&gt;&lt;author&gt;Flood, Samantha&lt;/author&gt;&lt;author&gt;Howarth, Joyce&lt;/author&gt;&lt;author&gt;Jones, Richard&lt;/author&gt;&lt;/authors&gt;&lt;/contributors&gt;&lt;titles&gt;&lt;title&gt;Keeping safe and providing support: a participatory survey about abuse and people with intellectual disabilities&lt;/title&gt;&lt;secondary-title&gt;Journal of Policy and Practice in Intellectual Disabilities&lt;/secondary-title&gt;&lt;/titles&gt;&lt;periodical&gt;&lt;full-title&gt;Journal of Policy and Practice in Intellectual Disabilities&lt;/full-title&gt;&lt;/periodical&gt;&lt;pages&gt;236-244&lt;/pages&gt;&lt;volume&gt;10&lt;/volume&gt;&lt;number&gt;3&lt;/number&gt;&lt;dates&gt;&lt;year&gt;2013&lt;/year&gt;&lt;/dates&gt;&lt;isbn&gt;1741-1130&lt;/isbn&gt;&lt;urls&gt;&lt;/urls&gt;&lt;/record&gt;&lt;/Cite&gt;&lt;Cite&gt;&lt;Author&gt;French&lt;/Author&gt;&lt;Year&gt;2010 &lt;/Year&gt;&lt;RecNum&gt;59&lt;/RecNum&gt;&lt;record&gt;&lt;rec-number&gt;59&lt;/rec-number&gt;&lt;foreign-keys&gt;&lt;key app="EN" db-id="e2pvpettoe5ddver2zlpspd00avfvwwf99z5"&gt;59&lt;/key&gt;&lt;/foreign-keys&gt;&lt;ref-type name="Report"&gt;27&lt;/ref-type&gt;&lt;contributors&gt;&lt;authors&gt;&lt;author&gt;French, P.&lt;/author&gt;&lt;author&gt;Dardel, J.&lt;/author&gt;&lt;author&gt;Price-Kelly, S. &lt;/author&gt;&lt;/authors&gt;&lt;/contributors&gt;&lt;titles&gt;&lt;title&gt;Rights Denied: Towards a National Policy Agenda about Abuse, Neglect &amp;amp; Exploitation of Persons with Cognitive Impairment&lt;/title&gt;&lt;/titles&gt;&lt;dates&gt;&lt;year&gt;2010 &lt;/year&gt;&lt;/dates&gt;&lt;pub-location&gt;Sydney&lt;/pub-location&gt;&lt;publisher&gt;People with Disability Australia&lt;/publisher&gt;&lt;urls&gt;&lt;/urls&gt;&lt;/record&gt;&lt;/Cite&gt;&lt;/EndNote&gt;</w:instrText>
      </w:r>
      <w:r w:rsidRPr="004E07AE">
        <w:fldChar w:fldCharType="separate"/>
      </w:r>
      <w:r w:rsidRPr="004E07AE">
        <w:t>(</w:t>
      </w:r>
      <w:hyperlink w:anchor="_ENREF_40" w:tooltip="Northway, 2013 #22" w:history="1">
        <w:r w:rsidRPr="004E07AE">
          <w:t>Northway et al., 2013a</w:t>
        </w:r>
      </w:hyperlink>
      <w:r w:rsidRPr="004E07AE">
        <w:t xml:space="preserve">, </w:t>
      </w:r>
      <w:hyperlink w:anchor="_ENREF_18" w:tooltip="French, 2010  #59" w:history="1">
        <w:r w:rsidRPr="004E07AE">
          <w:t xml:space="preserve">French et al., 2010 </w:t>
        </w:r>
      </w:hyperlink>
      <w:r w:rsidRPr="004E07AE">
        <w:t>)</w:t>
      </w:r>
      <w:r w:rsidRPr="004E07AE">
        <w:fldChar w:fldCharType="end"/>
      </w:r>
    </w:p>
    <w:p w14:paraId="66954962" w14:textId="77777777" w:rsidR="004E07AE" w:rsidRPr="004E07AE" w:rsidRDefault="004E07AE" w:rsidP="004E07AE">
      <w:pPr>
        <w:pStyle w:val="ListBullet"/>
      </w:pPr>
      <w:r w:rsidRPr="004E07AE">
        <w:t xml:space="preserve">Malevolence in online settings </w:t>
      </w:r>
      <w:r w:rsidRPr="004E07AE">
        <w:fldChar w:fldCharType="begin"/>
      </w:r>
      <w:r w:rsidRPr="004E07AE">
        <w:instrText xml:space="preserve"> ADDIN EN.CITE &lt;EndNote&gt;&lt;Cite&gt;&lt;Author&gt;Bowker&lt;/Author&gt;&lt;Year&gt;2003&lt;/Year&gt;&lt;RecNum&gt;31&lt;/RecNum&gt;&lt;DisplayText&gt;(Bowker and Tuffin, 2003, Caton and Chapman, 2016)&lt;/DisplayText&gt;&lt;record&gt;&lt;rec-number&gt;31&lt;/rec-number&gt;&lt;foreign-keys&gt;&lt;key app="EN" db-id="e2pvpettoe5ddver2zlpspd00avfvwwf99z5"&gt;31&lt;/key&gt;&lt;/foreign-keys&gt;&lt;ref-type name="Journal Article"&gt;17&lt;/ref-type&gt;&lt;contributors&gt;&lt;authors&gt;&lt;author&gt;Bowker, Natilene&lt;/author&gt;&lt;author&gt;Tuffin, Keith&lt;/author&gt;&lt;/authors&gt;&lt;/contributors&gt;&lt;titles&gt;&lt;title&gt;Dicing with deception: People with disabilities&amp;apos; strategies for managing safety and identity online&lt;/title&gt;&lt;secondary-title&gt;Journal of Computer</w:instrText>
      </w:r>
      <w:r w:rsidRPr="004E07AE">
        <w:rPr>
          <w:rFonts w:ascii="Cambria Math" w:hAnsi="Cambria Math" w:cs="Cambria Math"/>
        </w:rPr>
        <w:instrText>‐</w:instrText>
      </w:r>
      <w:r w:rsidRPr="004E07AE">
        <w:instrText>Mediated Communication&lt;/secondary-title&gt;&lt;/titles&gt;&lt;periodical&gt;&lt;full-title&gt;Journal of Computer</w:instrText>
      </w:r>
      <w:r w:rsidRPr="004E07AE">
        <w:rPr>
          <w:rFonts w:ascii="Cambria Math" w:hAnsi="Cambria Math" w:cs="Cambria Math"/>
        </w:rPr>
        <w:instrText>‐</w:instrText>
      </w:r>
      <w:r w:rsidRPr="004E07AE">
        <w:instrText>Mediated Communication&lt;/full-title&gt;&lt;/periodical&gt;&lt;pages&gt;0-0&lt;/pages&gt;&lt;volume&gt;8&lt;/volume&gt;&lt;number&gt;2&lt;/number&gt;&lt;dates&gt;&lt;year&gt;2003&lt;/year&gt;&lt;/dates&gt;&lt;isbn&gt;1083-6101&lt;/isbn&gt;&lt;urls&gt;&lt;/urls&gt;&lt;/record&gt;&lt;/Cite&gt;&lt;Cite&gt;&lt;Author&gt;Caton&lt;/Author&gt;&lt;Year&gt;2016&lt;/Year&gt;&lt;RecNum&gt;35&lt;/RecNum&gt;&lt;record&gt;&lt;rec-number&gt;35&lt;/rec-number&gt;&lt;foreign-keys&gt;&lt;key app="EN" db-id="e2pvpettoe5ddver2zlpspd00avfvwwf99z5"&gt;35&lt;/key&gt;&lt;/foreign-keys&gt;&lt;ref-type name="Journal Article"&gt;17&lt;/ref-type&gt;&lt;contributors&gt;&lt;authors&gt;&lt;author&gt;Caton, Sue&lt;/author&gt;&lt;author&gt;Chapman, Melanie&lt;/author&gt;&lt;/authors&gt;&lt;/contributors&gt;&lt;titles&gt;&lt;title&gt;The use of social media and people with intellectual disability: a systematic review and thematic analysis&lt;/title&gt;&lt;secondary-title&gt;Journal of Intellectual and Developmental Disability&lt;/secondary-title&gt;&lt;/titles&gt;&lt;periodical&gt;&lt;full-title&gt;Journal of Intellectual and Developmental Disability&lt;/full-title&gt;&lt;/periodical&gt;&lt;pages&gt;125-139&lt;/pages&gt;&lt;volume&gt;41&lt;/volume&gt;&lt;number&gt;2&lt;/number&gt;&lt;dates&gt;&lt;year&gt;2016&lt;/year&gt;&lt;/dates&gt;&lt;isbn&gt;1366-8250&lt;/isbn&gt;&lt;urls&gt;&lt;/urls&gt;&lt;/record&gt;&lt;/Cite&gt;&lt;/EndNote&gt;</w:instrText>
      </w:r>
      <w:r w:rsidRPr="004E07AE">
        <w:fldChar w:fldCharType="separate"/>
      </w:r>
      <w:r w:rsidRPr="004E07AE">
        <w:t>(</w:t>
      </w:r>
      <w:hyperlink w:anchor="_ENREF_3" w:tooltip="Bowker, 2003 #31" w:history="1">
        <w:r w:rsidRPr="004E07AE">
          <w:t>Bowker and Tuffin, 2003</w:t>
        </w:r>
      </w:hyperlink>
      <w:r w:rsidRPr="004E07AE">
        <w:t xml:space="preserve">, </w:t>
      </w:r>
      <w:hyperlink w:anchor="_ENREF_9" w:tooltip="Caton, 2016 #35" w:history="1">
        <w:r w:rsidRPr="004E07AE">
          <w:t>Caton and Chapman, 2016</w:t>
        </w:r>
      </w:hyperlink>
      <w:r w:rsidRPr="004E07AE">
        <w:t>)</w:t>
      </w:r>
      <w:r w:rsidRPr="004E07AE">
        <w:fldChar w:fldCharType="end"/>
      </w:r>
    </w:p>
    <w:p w14:paraId="082D2B71" w14:textId="77777777" w:rsidR="004E07AE" w:rsidRDefault="004E07AE" w:rsidP="004E07AE">
      <w:pPr>
        <w:numPr>
          <w:ilvl w:val="0"/>
          <w:numId w:val="15"/>
        </w:numPr>
      </w:pPr>
      <w:r>
        <w:t>Other research has emphasised that beyond situations where people with disability are at direct risk of harm, personal safety can also be promoted</w:t>
      </w:r>
      <w:r w:rsidRPr="00697878">
        <w:t xml:space="preserve"> </w:t>
      </w:r>
      <w:r>
        <w:t>generally in everyday life at home and in the community. This can include thinking about and ensuring safety in areas such as:</w:t>
      </w:r>
    </w:p>
    <w:p w14:paraId="47E844AC" w14:textId="77777777" w:rsidR="004E07AE" w:rsidRPr="004E07AE" w:rsidRDefault="004E07AE" w:rsidP="004E07AE">
      <w:pPr>
        <w:pStyle w:val="ListBullet"/>
      </w:pPr>
      <w:r>
        <w:t>Creating relationships</w:t>
      </w:r>
      <w:r w:rsidRPr="004E07AE">
        <w:t xml:space="preserve"> of mutual trust </w:t>
      </w:r>
      <w:r w:rsidRPr="004E07AE">
        <w:fldChar w:fldCharType="begin"/>
      </w:r>
      <w:r w:rsidRPr="004E07AE">
        <w:instrText xml:space="preserve"> ADDIN EN.CITE &lt;EndNote&gt;&lt;Cite&gt;&lt;Author&gt;Daniel&lt;/Author&gt;&lt;Year&gt;2010&lt;/Year&gt;&lt;RecNum&gt;60&lt;/RecNum&gt;&lt;DisplayText&gt;(Daniel and Bowes, 2010)&lt;/DisplayText&gt;&lt;record&gt;&lt;rec-number&gt;60&lt;/rec-number&gt;&lt;foreign-keys&gt;&lt;key app="EN" db-id="e2pvpettoe5ddver2zlpspd00avfvwwf99z5"&gt;60&lt;/key&gt;&lt;/foreign-keys&gt;&lt;ref-type name="Journal Article"&gt;17&lt;/ref-type&gt;&lt;contributors&gt;&lt;authors&gt;&lt;author&gt;Daniel, Brigid&lt;/author&gt;&lt;author&gt;Bowes, Alison&lt;/author&gt;&lt;/authors&gt;&lt;/contributors&gt;&lt;titles&gt;&lt;title&gt;Re-thinking harm and abuse: Insights from a lifespan perspective&lt;/title&gt;&lt;secondary-title&gt;British Journal of Social Work&lt;/secondary-title&gt;&lt;/titles&gt;&lt;periodical&gt;&lt;full-title&gt;British Journal of Social Work&lt;/full-title&gt;&lt;/periodical&gt;&lt;pages&gt;bcq116&lt;/pages&gt;&lt;dates&gt;&lt;year&gt;2010&lt;/year&gt;&lt;/dates&gt;&lt;isbn&gt;0045-3102&lt;/isbn&gt;&lt;urls&gt;&lt;/urls&gt;&lt;/record&gt;&lt;/Cite&gt;&lt;/EndNote&gt;</w:instrText>
      </w:r>
      <w:r w:rsidRPr="004E07AE">
        <w:fldChar w:fldCharType="separate"/>
      </w:r>
      <w:r w:rsidRPr="004E07AE">
        <w:t>(</w:t>
      </w:r>
      <w:hyperlink w:anchor="_ENREF_12" w:tooltip="Daniel, 2010 #60" w:history="1">
        <w:r w:rsidRPr="004E07AE">
          <w:t>Daniel and Bowes, 2010</w:t>
        </w:r>
      </w:hyperlink>
      <w:r w:rsidRPr="004E07AE">
        <w:t>)</w:t>
      </w:r>
      <w:r w:rsidRPr="004E07AE">
        <w:fldChar w:fldCharType="end"/>
      </w:r>
    </w:p>
    <w:p w14:paraId="349F6449" w14:textId="77777777" w:rsidR="004E07AE" w:rsidRDefault="004E07AE" w:rsidP="004E07AE">
      <w:pPr>
        <w:pStyle w:val="ListBullet"/>
      </w:pPr>
      <w:r>
        <w:t>Reducing emotional reliance on paid relationships (Robinson, 2013)</w:t>
      </w:r>
    </w:p>
    <w:p w14:paraId="61D70A47" w14:textId="77777777" w:rsidR="004E07AE" w:rsidRPr="004E07AE" w:rsidRDefault="004E07AE" w:rsidP="004E07AE">
      <w:pPr>
        <w:pStyle w:val="ListBullet"/>
      </w:pPr>
      <w:r>
        <w:t>Receiving assistance from others</w:t>
      </w:r>
      <w:r w:rsidRPr="004E07AE">
        <w:t xml:space="preserve"> </w:t>
      </w:r>
      <w:r w:rsidRPr="004E07AE">
        <w:fldChar w:fldCharType="begin"/>
      </w:r>
      <w:r w:rsidRPr="004E07AE">
        <w:instrText xml:space="preserve"> ADDIN EN.CITE &lt;EndNote&gt;&lt;Cite&gt;&lt;Author&gt;Marsland&lt;/Author&gt;&lt;Year&gt;2007&lt;/Year&gt;&lt;RecNum&gt;61&lt;/RecNum&gt;&lt;DisplayText&gt;(Marsland et al., 2007)&lt;/DisplayText&gt;&lt;record&gt;&lt;rec-number&gt;61&lt;/rec-number&gt;&lt;foreign-keys&gt;&lt;key app="EN" db-id="e2pvpettoe5ddver2zlpspd00avfvwwf99z5"&gt;61&lt;/key&gt;&lt;/foreign-keys&gt;&lt;ref-type name="Journal Article"&gt;17&lt;/ref-type&gt;&lt;contributors&gt;&lt;authors&gt;&lt;author&gt;Marsland, Dave&lt;/author&gt;&lt;author&gt;Oakes, Peter&lt;/author&gt;&lt;author&gt;White, Caroline&lt;/author&gt;&lt;/authors&gt;&lt;/contributors&gt;&lt;titles&gt;&lt;title&gt;Abuse in care? The identification of early indicators of the abuse of people with learning disabilities in residential settings&lt;/title&gt;&lt;secondary-title&gt;The Journal of Adult Protection&lt;/secondary-title&gt;&lt;/titles&gt;&lt;periodical&gt;&lt;full-title&gt;The Journal of Adult Protection&lt;/full-title&gt;&lt;/periodical&gt;&lt;pages&gt;6-20&lt;/pages&gt;&lt;volume&gt;9&lt;/volume&gt;&lt;number&gt;4&lt;/number&gt;&lt;dates&gt;&lt;year&gt;2007&lt;/year&gt;&lt;/dates&gt;&lt;isbn&gt;1466-8203&lt;/isbn&gt;&lt;urls&gt;&lt;/urls&gt;&lt;/record&gt;&lt;/Cite&gt;&lt;/EndNote&gt;</w:instrText>
      </w:r>
      <w:r w:rsidRPr="004E07AE">
        <w:fldChar w:fldCharType="separate"/>
      </w:r>
      <w:r w:rsidRPr="004E07AE">
        <w:t>(</w:t>
      </w:r>
      <w:hyperlink w:anchor="_ENREF_36" w:tooltip="Marsland, 2007 #61" w:history="1">
        <w:r w:rsidRPr="004E07AE">
          <w:t>Marsland et al., 2007</w:t>
        </w:r>
      </w:hyperlink>
      <w:r w:rsidRPr="004E07AE">
        <w:t>)</w:t>
      </w:r>
      <w:r w:rsidRPr="004E07AE">
        <w:fldChar w:fldCharType="end"/>
      </w:r>
    </w:p>
    <w:p w14:paraId="11B223C2" w14:textId="77777777" w:rsidR="004E07AE" w:rsidRPr="004E07AE" w:rsidRDefault="004E07AE" w:rsidP="004E07AE">
      <w:pPr>
        <w:pStyle w:val="ListBullet"/>
      </w:pPr>
      <w:r>
        <w:t>Training</w:t>
      </w:r>
      <w:r w:rsidRPr="004E07AE">
        <w:t xml:space="preserve"> (for people with disability, family members, support workers, managers, wider community) </w:t>
      </w:r>
      <w:r w:rsidRPr="004E07AE">
        <w:fldChar w:fldCharType="begin"/>
      </w:r>
      <w:r w:rsidRPr="004E07AE">
        <w:instrText xml:space="preserve"> ADDIN EN.CITE &lt;EndNote&gt;&lt;Cite&gt;&lt;Author&gt;Ottmann&lt;/Author&gt;&lt;Year&gt;2016&lt;/Year&gt;&lt;RecNum&gt;27&lt;/RecNum&gt;&lt;DisplayText&gt;(Ottmann et al., 2016)&lt;/DisplayText&gt;&lt;record&gt;&lt;rec-number&gt;27&lt;/rec-number&gt;&lt;foreign-keys&gt;&lt;key app="EN" db-id="e2pvpettoe5ddver2zlpspd00avfvwwf99z5"&gt;27&lt;/key&gt;&lt;/foreign-keys&gt;&lt;ref-type name="Journal Article"&gt;17&lt;/ref-type&gt;&lt;contributors&gt;&lt;authors&gt;&lt;author&gt;Ottmann, Goetz&lt;/author&gt;&lt;author&gt;McVilly, Keith&lt;/author&gt;&lt;author&gt;Maragoudaki, Margarita&lt;/author&gt;&lt;/authors&gt;&lt;/contributors&gt;&lt;titles&gt;&lt;title&gt;‘I walk from trouble’: exploring safeguards with adults with intellectual disabilities–an Australian qualitative study&lt;/title&gt;&lt;secondary-title&gt;Disability &amp;amp; Society&lt;/secondary-title&gt;&lt;/titles&gt;&lt;periodical&gt;&lt;full-title&gt;Disability &amp;amp; Society&lt;/full-title&gt;&lt;/periodical&gt;&lt;pages&gt;47-63&lt;/pages&gt;&lt;volume&gt;31&lt;/volume&gt;&lt;number&gt;1&lt;/number&gt;&lt;dates&gt;&lt;year&gt;2016&lt;/year&gt;&lt;/dates&gt;&lt;isbn&gt;0968-7599&lt;/isbn&gt;&lt;urls&gt;&lt;/urls&gt;&lt;/record&gt;&lt;/Cite&gt;&lt;/EndNote&gt;</w:instrText>
      </w:r>
      <w:r w:rsidRPr="004E07AE">
        <w:fldChar w:fldCharType="separate"/>
      </w:r>
      <w:r w:rsidRPr="004E07AE">
        <w:t>(</w:t>
      </w:r>
      <w:hyperlink w:anchor="_ENREF_44" w:tooltip="Ottmann, 2016 #27" w:history="1">
        <w:r w:rsidRPr="004E07AE">
          <w:t>Ottmann et al., 2016</w:t>
        </w:r>
      </w:hyperlink>
      <w:r w:rsidRPr="004E07AE">
        <w:t>)</w:t>
      </w:r>
      <w:r w:rsidRPr="004E07AE">
        <w:fldChar w:fldCharType="end"/>
      </w:r>
    </w:p>
    <w:p w14:paraId="7A127468" w14:textId="77777777" w:rsidR="004E07AE" w:rsidRPr="004E07AE" w:rsidRDefault="004E07AE" w:rsidP="004E07AE">
      <w:pPr>
        <w:pStyle w:val="ListBullet"/>
      </w:pPr>
      <w:r>
        <w:t>A</w:t>
      </w:r>
      <w:r w:rsidRPr="004E07AE">
        <w:t xml:space="preserve">dvice, planning and disclosing one’s plans </w:t>
      </w:r>
      <w:r w:rsidRPr="004E07AE">
        <w:fldChar w:fldCharType="begin"/>
      </w:r>
      <w:r w:rsidRPr="004E07AE">
        <w:instrText xml:space="preserve"> ADDIN EN.CITE &lt;EndNote&gt;&lt;Cite&gt;&lt;Author&gt;Ottmann&lt;/Author&gt;&lt;Year&gt;2016&lt;/Year&gt;&lt;RecNum&gt;27&lt;/RecNum&gt;&lt;DisplayText&gt;(Ottmann et al., 2016)&lt;/DisplayText&gt;&lt;record&gt;&lt;rec-number&gt;27&lt;/rec-number&gt;&lt;foreign-keys&gt;&lt;key app="EN" db-id="e2pvpettoe5ddver2zlpspd00avfvwwf99z5"&gt;27&lt;/key&gt;&lt;/foreign-keys&gt;&lt;ref-type name="Journal Article"&gt;17&lt;/ref-type&gt;&lt;contributors&gt;&lt;authors&gt;&lt;author&gt;Ottmann, Goetz&lt;/author&gt;&lt;author&gt;McVilly, Keith&lt;/author&gt;&lt;author&gt;Maragoudaki, Margarita&lt;/author&gt;&lt;/authors&gt;&lt;/contributors&gt;&lt;titles&gt;&lt;title&gt;‘I walk from trouble’: exploring safeguards with adults with intellectual disabilities–an Australian qualitative study&lt;/title&gt;&lt;secondary-title&gt;Disability &amp;amp; Society&lt;/secondary-title&gt;&lt;/titles&gt;&lt;periodical&gt;&lt;full-title&gt;Disability &amp;amp; Society&lt;/full-title&gt;&lt;/periodical&gt;&lt;pages&gt;47-63&lt;/pages&gt;&lt;volume&gt;31&lt;/volume&gt;&lt;number&gt;1&lt;/number&gt;&lt;dates&gt;&lt;year&gt;2016&lt;/year&gt;&lt;/dates&gt;&lt;isbn&gt;0968-7599&lt;/isbn&gt;&lt;urls&gt;&lt;/urls&gt;&lt;/record&gt;&lt;/Cite&gt;&lt;/EndNote&gt;</w:instrText>
      </w:r>
      <w:r w:rsidRPr="004E07AE">
        <w:fldChar w:fldCharType="separate"/>
      </w:r>
      <w:r w:rsidRPr="004E07AE">
        <w:t>(</w:t>
      </w:r>
      <w:hyperlink w:anchor="_ENREF_44" w:tooltip="Ottmann, 2016 #27" w:history="1">
        <w:r w:rsidRPr="004E07AE">
          <w:t>Ottmann et al., 2016</w:t>
        </w:r>
      </w:hyperlink>
      <w:r w:rsidRPr="004E07AE">
        <w:t>)</w:t>
      </w:r>
      <w:r w:rsidRPr="004E07AE">
        <w:fldChar w:fldCharType="end"/>
      </w:r>
    </w:p>
    <w:p w14:paraId="3108BD0F" w14:textId="77777777" w:rsidR="004E07AE" w:rsidRPr="004E07AE" w:rsidRDefault="004E07AE" w:rsidP="004E07AE">
      <w:pPr>
        <w:pStyle w:val="ListBullet"/>
      </w:pPr>
      <w:r>
        <w:t>Health (e.g. m</w:t>
      </w:r>
      <w:r w:rsidRPr="004E07AE">
        <w:t xml:space="preserve">ental health, healthy living, wellness, nutrition and chronic illness management) </w:t>
      </w:r>
      <w:r w:rsidRPr="004E07AE">
        <w:fldChar w:fldCharType="begin"/>
      </w:r>
      <w:r w:rsidRPr="004E07AE">
        <w:instrText xml:space="preserve"> ADDIN EN.CITE &lt;EndNote&gt;&lt;Cite&gt;&lt;Author&gt;Hallahan&lt;/Author&gt;&lt;Year&gt;2012&lt;/Year&gt;&lt;RecNum&gt;62&lt;/RecNum&gt;&lt;DisplayText&gt;(Hallahan, 2012, Ottmann et al., 2016)&lt;/DisplayText&gt;&lt;record&gt;&lt;rec-number&gt;62&lt;/rec-number&gt;&lt;foreign-keys&gt;&lt;key app="EN" db-id="e2pvpettoe5ddver2zlpspd00avfvwwf99z5"&gt;62&lt;/key&gt;&lt;/foreign-keys&gt;&lt;ref-type name="Report"&gt;27&lt;/ref-type&gt;&lt;contributors&gt;&lt;authors&gt;&lt;author&gt;Hallahan, L. &lt;/author&gt;&lt;/authors&gt;&lt;/contributors&gt;&lt;titles&gt;&lt;title&gt;Towards Quality and Safety in Disability Services: Confronting the “Corruption of Care”. Report to SA Health &amp;amp; Community Services Complaints Commissioner&lt;/title&gt;&lt;/titles&gt;&lt;dates&gt;&lt;year&gt;2012&lt;/year&gt;&lt;/dates&gt;&lt;pub-location&gt;Adelaide&lt;/pub-location&gt;&lt;publisher&gt;Flinders University&lt;/publisher&gt;&lt;urls&gt;&lt;/urls&gt;&lt;/record&gt;&lt;/Cite&gt;&lt;Cite&gt;&lt;Author&gt;Ottmann&lt;/Author&gt;&lt;Year&gt;2016&lt;/Year&gt;&lt;RecNum&gt;27&lt;/RecNum&gt;&lt;record&gt;&lt;rec-number&gt;27&lt;/rec-number&gt;&lt;foreign-keys&gt;&lt;key app="EN" db-id="e2pvpettoe5ddver2zlpspd00avfvwwf99z5"&gt;27&lt;/key&gt;&lt;/foreign-keys&gt;&lt;ref-type name="Journal Article"&gt;17&lt;/ref-type&gt;&lt;contributors&gt;&lt;authors&gt;&lt;author&gt;Ottmann, Goetz&lt;/author&gt;&lt;author&gt;McVilly, Keith&lt;/author&gt;&lt;author&gt;Maragoudaki, Margarita&lt;/author&gt;&lt;/authors&gt;&lt;/contributors&gt;&lt;titles&gt;&lt;title&gt;‘I walk from trouble’: exploring safeguards with adults with intellectual disabilities–an Australian qualitative study&lt;/title&gt;&lt;secondary-title&gt;Disability &amp;amp; Society&lt;/secondary-title&gt;&lt;/titles&gt;&lt;periodical&gt;&lt;full-title&gt;Disability &amp;amp; Society&lt;/full-title&gt;&lt;/periodical&gt;&lt;pages&gt;47-63&lt;/pages&gt;&lt;volume&gt;31&lt;/volume&gt;&lt;number&gt;1&lt;/number&gt;&lt;dates&gt;&lt;year&gt;2016&lt;/year&gt;&lt;/dates&gt;&lt;isbn&gt;0968-7599&lt;/isbn&gt;&lt;urls&gt;&lt;/urls&gt;&lt;/record&gt;&lt;/Cite&gt;&lt;/EndNote&gt;</w:instrText>
      </w:r>
      <w:r w:rsidRPr="004E07AE">
        <w:fldChar w:fldCharType="separate"/>
      </w:r>
      <w:r w:rsidRPr="004E07AE">
        <w:t>(</w:t>
      </w:r>
      <w:hyperlink w:anchor="_ENREF_22" w:tooltip="Hallahan, 2012 #62" w:history="1">
        <w:r w:rsidRPr="004E07AE">
          <w:t>Hallahan, 2012</w:t>
        </w:r>
      </w:hyperlink>
      <w:r w:rsidRPr="004E07AE">
        <w:t xml:space="preserve">, </w:t>
      </w:r>
      <w:hyperlink w:anchor="_ENREF_44" w:tooltip="Ottmann, 2016 #27" w:history="1">
        <w:r w:rsidRPr="004E07AE">
          <w:t>Ottmann et al., 2016</w:t>
        </w:r>
      </w:hyperlink>
      <w:r w:rsidRPr="004E07AE">
        <w:t>)</w:t>
      </w:r>
      <w:r w:rsidRPr="004E07AE">
        <w:fldChar w:fldCharType="end"/>
      </w:r>
    </w:p>
    <w:p w14:paraId="3749A4EB" w14:textId="77777777" w:rsidR="004E07AE" w:rsidRDefault="004E07AE" w:rsidP="004E07AE">
      <w:pPr>
        <w:numPr>
          <w:ilvl w:val="0"/>
          <w:numId w:val="15"/>
        </w:numPr>
      </w:pPr>
      <w:r>
        <w:t>These areas of safety may be relevant throughout a range of different types of social, economic and community participation. Further, they</w:t>
      </w:r>
      <w:r w:rsidRPr="00D12B9B">
        <w:t xml:space="preserve"> focus on developing relationships, reducing social and physical isolation and building strong and ongoing formal and informal networks for people</w:t>
      </w:r>
      <w:r>
        <w:t xml:space="preserve"> with disability</w:t>
      </w:r>
      <w:r w:rsidRPr="00D12B9B">
        <w:t xml:space="preserve"> across multiple areas of their lives</w:t>
      </w:r>
      <w:r>
        <w:t xml:space="preserve"> </w:t>
      </w:r>
      <w:r>
        <w:fldChar w:fldCharType="begin">
          <w:fldData xml:space="preserve">PEVuZE5vdGU+PENpdGU+PEF1dGhvcj5EYW5pZWw8L0F1dGhvcj48WWVhcj4yMDEwPC9ZZWFyPjxS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</w:fldData>
        </w:fldChar>
      </w:r>
      <w:r>
        <w:instrText xml:space="preserve"> ADDIN EN.CITE </w:instrText>
      </w:r>
      <w:r>
        <w:fldChar w:fldCharType="begin">
          <w:fldData xml:space="preserve">PEVuZE5vdGU+PENpdGU+PEF1dGhvcj5EYW5pZWw8L0F1dGhvcj48WWVhcj4yMDEwPC9ZZWFyPjxS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</w:fldData>
        </w:fldChar>
      </w:r>
      <w:r>
        <w:instrText xml:space="preserve"> ADDIN EN.CITE.DATA </w:instrText>
      </w:r>
      <w:r>
        <w:fldChar w:fldCharType="end"/>
      </w:r>
      <w:r>
        <w:fldChar w:fldCharType="separate"/>
      </w:r>
      <w:r w:rsidRPr="004E07AE">
        <w:t>(</w:t>
      </w:r>
      <w:hyperlink w:anchor="_ENREF_12" w:tooltip="Daniel, 2010 #60" w:history="1">
        <w:r w:rsidRPr="004E07AE">
          <w:t>Daniel and Bowes, 2010</w:t>
        </w:r>
      </w:hyperlink>
      <w:r w:rsidRPr="004E07AE">
        <w:t xml:space="preserve">, </w:t>
      </w:r>
      <w:hyperlink w:anchor="_ENREF_22" w:tooltip="Hallahan, 2012 #62" w:history="1">
        <w:r w:rsidRPr="004E07AE">
          <w:t>Hallahan, 2012</w:t>
        </w:r>
      </w:hyperlink>
      <w:r w:rsidRPr="004E07AE">
        <w:t xml:space="preserve">, </w:t>
      </w:r>
      <w:hyperlink w:anchor="_ENREF_36" w:tooltip="Marsland, 2007 #61" w:history="1">
        <w:r w:rsidRPr="004E07AE">
          <w:t>Marsland et al., 2007</w:t>
        </w:r>
      </w:hyperlink>
      <w:r w:rsidRPr="004E07AE">
        <w:t xml:space="preserve">, </w:t>
      </w:r>
      <w:hyperlink w:anchor="_ENREF_48" w:tooltip="Robinson, 2013  #53" w:history="1">
        <w:r w:rsidRPr="004E07AE">
          <w:t xml:space="preserve">Robinson, 2013 </w:t>
        </w:r>
      </w:hyperlink>
      <w:r w:rsidRPr="004E07AE">
        <w:t>)</w:t>
      </w:r>
      <w:r>
        <w:fldChar w:fldCharType="end"/>
      </w:r>
      <w:r w:rsidRPr="00D12B9B">
        <w:t xml:space="preserve">. </w:t>
      </w:r>
      <w:r>
        <w:t>These areas of relational safety are important as e</w:t>
      </w:r>
      <w:r w:rsidRPr="00D12B9B">
        <w:t xml:space="preserve">vidence about </w:t>
      </w:r>
      <w:r w:rsidRPr="00D12B9B">
        <w:lastRenderedPageBreak/>
        <w:t>abuse prevention shows that the risk of harm is reduced for people with disability when their dignity and humanity is respected and they are treated as valued and included community members and full citizens.</w:t>
      </w:r>
    </w:p>
    <w:p w14:paraId="1F489541" w14:textId="77777777" w:rsidR="004E07AE" w:rsidRDefault="004E07AE" w:rsidP="004E07AE">
      <w:pPr>
        <w:numPr>
          <w:ilvl w:val="0"/>
          <w:numId w:val="15"/>
        </w:numPr>
      </w:pPr>
      <w:r>
        <w:t xml:space="preserve">This range of research detailed above highlights a number of areas where people with disability may benefit from decision-making support to promote personal safety and prevent harm, including making a distinction between support that is related to addressing direct abuse (reactive support) and that which is instead about promoting general safety in everyday life (proactive support). Others have conceptualised related distinctions, for example, protecting physical safety (e.g. physical safety from fires, emergencies and within one’s home) compared to safety in relationships (e.g. protection from abuse, violence and maltreatment) </w:t>
      </w:r>
      <w:r>
        <w:fldChar w:fldCharType="begin"/>
      </w:r>
      <w:r>
        <w:instrText xml:space="preserve"> ADDIN EN.CITE &lt;EndNote&gt;&lt;Cite&gt;&lt;Author&gt;Robinson&lt;/Author&gt;&lt;Year&gt;2014&lt;/Year&gt;&lt;RecNum&gt;50&lt;/RecNum&gt;&lt;DisplayText&gt;(Robinson, 2014)&lt;/DisplayText&gt;&lt;record&gt;&lt;rec-number&gt;50&lt;/rec-number&gt;&lt;foreign-keys&gt;&lt;key app="EN" db-id="e2pvpettoe5ddver2zlpspd00avfvwwf99z5"&gt;50&lt;/key&gt;&lt;/foreign-keys&gt;&lt;ref-type name="Journal Article"&gt;17&lt;/ref-type&gt;&lt;contributors&gt;&lt;authors&gt;&lt;author&gt;Robinson, Sally&lt;/author&gt;&lt;/authors&gt;&lt;/contributors&gt;&lt;titles&gt;&lt;title&gt;Safe at home? Factors influencing the safety strategies used by people with intellectual disability&lt;/title&gt;&lt;secondary-title&gt;Scandinavian Journal of Disability Research&lt;/secondary-title&gt;&lt;/titles&gt;&lt;periodical&gt;&lt;full-title&gt;Scandinavian Journal of Disability Research&lt;/full-title&gt;&lt;/periodical&gt;&lt;pages&gt;99-113&lt;/pages&gt;&lt;volume&gt;16&lt;/volume&gt;&lt;number&gt;2&lt;/number&gt;&lt;dates&gt;&lt;year&gt;2014&lt;/year&gt;&lt;/dates&gt;&lt;isbn&gt;1501-7419&lt;/isbn&gt;&lt;urls&gt;&lt;/urls&gt;&lt;/record&gt;&lt;/Cite&gt;&lt;/EndNote&gt;</w:instrText>
      </w:r>
      <w:r>
        <w:fldChar w:fldCharType="separate"/>
      </w:r>
      <w:r w:rsidRPr="004E07AE">
        <w:t>(</w:t>
      </w:r>
      <w:hyperlink w:anchor="_ENREF_49" w:tooltip="Robinson, 2014 #50" w:history="1">
        <w:r w:rsidRPr="004E07AE">
          <w:t>Robinson, 2014</w:t>
        </w:r>
      </w:hyperlink>
      <w:r w:rsidRPr="004E07AE">
        <w:t>)</w:t>
      </w:r>
      <w:r>
        <w:fldChar w:fldCharType="end"/>
      </w:r>
      <w:r>
        <w:t>.</w:t>
      </w:r>
    </w:p>
    <w:p w14:paraId="3E9295D6" w14:textId="77777777" w:rsidR="004E07AE" w:rsidRDefault="004E07AE" w:rsidP="004E07AE">
      <w:pPr>
        <w:numPr>
          <w:ilvl w:val="0"/>
          <w:numId w:val="15"/>
        </w:numPr>
      </w:pPr>
      <w:r>
        <w:t xml:space="preserve">The practice evidence suggests that current supported decision-making programs focus on two main areas: (1) preventing the unnecessary use of substitute decision-making and (2) safety and decisions in everyday life. Limited attention to explicitly cultivating decision-making for preventing or addressing abuse or harm was found in the review. Participants in the programs do not appear to be directly seeking support for decisions about safety, risk or harm. This may perhaps in part be due to program focus or to the time-limited nature of many of the programs, where there is often not the necessary time available to address very sensitive or complex areas that have implications for wellbeing. Many of the programs do however appear to adopt a trauma-informed approach, suggesting that while they do not explicitly address safeguarding, they conceptually and practically connect personal safety promotion and harm prevention – and the histories of trauma that may sometimes be involved in this – with their supported decision-making program development. </w:t>
      </w:r>
      <w:r w:rsidRPr="004E07AE">
        <w:t>In the reviewed projects, many also promoted a starting point of existing strengths, rather than the perceived or real vulnerabilities of people with disability. There were several activities and resources that helped shine a light on these strengths to empower and provide decision-making guidance that promotes personal congruence.</w:t>
      </w:r>
    </w:p>
    <w:p w14:paraId="188B0790" w14:textId="77777777" w:rsidR="004E07AE" w:rsidRPr="004E07AE" w:rsidRDefault="004E07AE" w:rsidP="004E07AE">
      <w:pPr>
        <w:pStyle w:val="Heading2"/>
      </w:pPr>
      <w:bookmarkStart w:id="7" w:name="_Toc480381284"/>
      <w:r w:rsidRPr="004E07AE">
        <w:t>Areas of support specific to the NDIS context</w:t>
      </w:r>
      <w:bookmarkEnd w:id="7"/>
    </w:p>
    <w:p w14:paraId="28ADEA78" w14:textId="77777777" w:rsidR="004E07AE" w:rsidRDefault="004E07AE" w:rsidP="004E07AE">
      <w:pPr>
        <w:numPr>
          <w:ilvl w:val="0"/>
          <w:numId w:val="15"/>
        </w:numPr>
      </w:pPr>
      <w:r>
        <w:t xml:space="preserve">Little academic research has examined which specific issues related to promoting personal safety and preventing harm people with disability may require decision-making support about within a context of policy changes towards personalisation through the NDIS. The main area reflected in the academic literature is that people with disability have identified particular concerns around breakdown of trust with close family members, friends, housemates and service providers and the harm that can occur in such relationships </w:t>
      </w:r>
      <w:r>
        <w:fldChar w:fldCharType="begin">
          <w:fldData xml:space="preserve">PEVuZE5vdGU+PENpdGU+PEF1dGhvcj5EYW5pZWw8L0F1dGhvcj48WWVhcj4yMDEzPC9ZZWFyPjxS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</w:fldData>
        </w:fldChar>
      </w:r>
      <w:r>
        <w:instrText xml:space="preserve"> ADDIN EN.CITE </w:instrText>
      </w:r>
      <w:r>
        <w:fldChar w:fldCharType="begin">
          <w:fldData xml:space="preserve">PEVuZE5vdGU+PENpdGU+PEF1dGhvcj5EYW5pZWw8L0F1dGhvcj48WWVhcj4yMDEzPC9ZZWFyPjxS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</w:fldData>
        </w:fldChar>
      </w:r>
      <w:r>
        <w:instrText xml:space="preserve"> ADDIN EN.CITE.DATA </w:instrText>
      </w:r>
      <w:r>
        <w:fldChar w:fldCharType="end"/>
      </w:r>
      <w:r>
        <w:fldChar w:fldCharType="separate"/>
      </w:r>
      <w:r w:rsidRPr="004E07AE">
        <w:t>(</w:t>
      </w:r>
      <w:hyperlink w:anchor="_ENREF_13" w:tooltip="Daniel, 2013 #10" w:history="1">
        <w:r w:rsidRPr="004E07AE">
          <w:t>Daniel et al., 2013</w:t>
        </w:r>
      </w:hyperlink>
      <w:r w:rsidRPr="004E07AE">
        <w:t xml:space="preserve">, </w:t>
      </w:r>
      <w:hyperlink w:anchor="_ENREF_49" w:tooltip="Robinson, 2014 #50" w:history="1">
        <w:r w:rsidRPr="004E07AE">
          <w:t>Robinson, 2014</w:t>
        </w:r>
      </w:hyperlink>
      <w:r w:rsidRPr="004E07AE">
        <w:t xml:space="preserve">, </w:t>
      </w:r>
      <w:hyperlink w:anchor="_ENREF_50" w:tooltip="Robinson, 2015 #28" w:history="1">
        <w:r w:rsidRPr="004E07AE">
          <w:t>2015a</w:t>
        </w:r>
      </w:hyperlink>
      <w:r w:rsidRPr="004E07AE">
        <w:t xml:space="preserve">, </w:t>
      </w:r>
      <w:hyperlink w:anchor="_ENREF_53" w:tooltip="Saxton, 2001 #46" w:history="1">
        <w:r w:rsidRPr="004E07AE">
          <w:t>Saxton et al., 2001</w:t>
        </w:r>
      </w:hyperlink>
      <w:r w:rsidRPr="004E07AE">
        <w:t>)</w:t>
      </w:r>
      <w:r>
        <w:fldChar w:fldCharType="end"/>
      </w:r>
      <w:r>
        <w:t xml:space="preserve">. Such concerns may be heightened as people with disability are required to navigate closer personal relationships with support workers when using self-managed funding packages, individualised service provision and other new personalised models of disability support </w:t>
      </w:r>
      <w:r>
        <w:fldChar w:fldCharType="begin"/>
      </w:r>
      <w:r>
        <w:instrText xml:space="preserve"> ADDIN EN.CITE &lt;EndNote&gt;&lt;Cite&gt;&lt;Author&gt;Robinson&lt;/Author&gt;&lt;Year&gt;2015&lt;/Year&gt;&lt;RecNum&gt;28&lt;/RecNum&gt;&lt;DisplayText&gt;(Robinson, 2015a)&lt;/DisplayText&gt;&lt;record&gt;&lt;rec-number&gt;28&lt;/rec-number&gt;&lt;foreign-keys&gt;&lt;key app="EN" db-id="e2pvpettoe5ddver2zlpspd00avfvwwf99z5"&gt;28&lt;/key&gt;&lt;/foreign-keys&gt;&lt;ref-type name="Report"&gt;27&lt;/ref-type&gt;&lt;contributors&gt;&lt;authors&gt;&lt;author&gt;Robinson, S.&lt;/author&gt;&lt;/authors&gt;&lt;/contributors&gt;&lt;titles&gt;&lt;title&gt;Feeling Safe, Being Safe: What is important to children and young people with disability and high support needs about safety in institutional settings? &lt;/title&gt;&lt;/titles&gt;&lt;dates&gt;&lt;year&gt;2015&lt;/year&gt;&lt;/dates&gt;&lt;pub-location&gt;Sydney&lt;/pub-location&gt;&lt;publisher&gt;Royal Commission into Institutional Responses to Child Sexual Abuse&lt;/publisher&gt;&lt;urls&gt;&lt;/urls&gt;&lt;/record&gt;&lt;/Cite&gt;&lt;/EndNote&gt;</w:instrText>
      </w:r>
      <w:r>
        <w:fldChar w:fldCharType="separate"/>
      </w:r>
      <w:r w:rsidRPr="004E07AE">
        <w:t>(</w:t>
      </w:r>
      <w:hyperlink w:anchor="_ENREF_50" w:tooltip="Robinson, 2015 #28" w:history="1">
        <w:r w:rsidRPr="004E07AE">
          <w:t>Robinson, 2015a</w:t>
        </w:r>
      </w:hyperlink>
      <w:r w:rsidRPr="004E07AE">
        <w:t>)</w:t>
      </w:r>
      <w:r>
        <w:fldChar w:fldCharType="end"/>
      </w:r>
      <w:r>
        <w:t xml:space="preserve">, as will be the case under the NDIS. Navigating closer relationships with support workers when using self-management has been a concern for people with disability in recent action research about the NDIS </w:t>
      </w:r>
      <w:r>
        <w:fldChar w:fldCharType="begin"/>
      </w:r>
      <w:r>
        <w:instrText xml:space="preserve"> ADDIN EN.CITE &lt;EndNote&gt;&lt;Cite&gt;&lt;Author&gt;Purcal&lt;/Author&gt;&lt;Year&gt;2014&lt;/Year&gt;&lt;RecNum&gt;895&lt;/RecNum&gt;&lt;DisplayText&gt;(Purcal et al., 2014)&lt;/DisplayText&gt;&lt;record&gt;&lt;rec-number&gt;895&lt;/rec-number&gt;&lt;foreign-keys&gt;&lt;key app="EN" db-id="t59p229xk29s08e5pe15dt5xz2ewpervfzpz" timestamp="1466409945"&gt;895&lt;/key&gt;&lt;/foreign-keys&gt;&lt;ref-type name="Report"&gt;27&lt;/ref-type&gt;&lt;contributors&gt;&lt;authors&gt;&lt;author&gt;Purcal, C.&lt;/author&gt;&lt;author&gt;Bevan, N.&lt;/author&gt;&lt;author&gt;Cooper, S.&lt;/author&gt;&lt;author&gt;Fisher, K. R.&lt;/author&gt;&lt;author&gt;Meltzer, A.&lt;/author&gt;&lt;author&gt;Wong, M.&lt;/author&gt;&lt;author&gt;Meyer, P.&lt;/author&gt;&lt;/authors&gt;&lt;/contributors&gt;&lt;titles&gt;&lt;title&gt;Self-Directed Disability Support: Building People’s Capacity Through Peer Support and Action Research [Final report] &lt;/title&gt;&lt;secondary-title&gt;SPRC Report 7/2014&lt;/secondary-title&gt;&lt;/titles&gt;&lt;dates&gt;&lt;year&gt;2014&lt;/year&gt;&lt;/dates&gt;&lt;pub-location&gt;Sydney&lt;/pub-location&gt;&lt;publisher&gt;Social Policy Research Centre, UNSW Australia&lt;/publisher&gt;&lt;urls&gt;&lt;/urls&gt;&lt;/record&gt;&lt;/Cite&gt;&lt;/EndNote&gt;</w:instrText>
      </w:r>
      <w:r>
        <w:fldChar w:fldCharType="separate"/>
      </w:r>
      <w:r w:rsidRPr="004E07AE">
        <w:t>(</w:t>
      </w:r>
      <w:hyperlink w:anchor="_ENREF_45" w:tooltip="Purcal, 2014 #895" w:history="1">
        <w:r w:rsidRPr="004E07AE">
          <w:t>Purcal et al., 2014</w:t>
        </w:r>
      </w:hyperlink>
      <w:r w:rsidRPr="004E07AE">
        <w:t>)</w:t>
      </w:r>
      <w:r>
        <w:fldChar w:fldCharType="end"/>
      </w:r>
      <w:r>
        <w:t xml:space="preserve">.  Decision-making support about promoting relational safety and preventing harm in close relationships may therefore be one particularly important area in which people with disability may currently or increasingly seek support. It is however also a complex area as these close relationships may not only be a potential area of risk or harm, but also </w:t>
      </w:r>
      <w:r>
        <w:lastRenderedPageBreak/>
        <w:t xml:space="preserve">a key source of the decision-making support required to navigate risk and harm, particularly for people with intellectual disability </w:t>
      </w:r>
      <w:r>
        <w:fldChar w:fldCharType="begin"/>
      </w:r>
      <w:r>
        <w:instrText xml:space="preserve"> ADDIN EN.CITE &lt;EndNote&gt;&lt;Cite&gt;&lt;Author&gt;Arstein-Kerslake&lt;/Author&gt;&lt;Year&gt;2016&lt;/Year&gt;&lt;RecNum&gt;3&lt;/RecNum&gt;&lt;DisplayText&gt;(Arstein-Kerslake, 2016)&lt;/DisplayText&gt;&lt;record&gt;&lt;rec-number&gt;3&lt;/rec-number&gt;&lt;foreign-keys&gt;&lt;key app="EN" db-id="e2pvpettoe5ddver2zlpspd00avfvwwf99z5"&gt;3&lt;/key&gt;&lt;/foreign-keys&gt;&lt;ref-type name="Journal Article"&gt;17&lt;/ref-type&gt;&lt;contributors&gt;&lt;authors&gt;&lt;author&gt;Arstein-Kerslake, Anna&lt;/author&gt;&lt;/authors&gt;&lt;/contributors&gt;&lt;titles&gt;&lt;title&gt;An empowering dependency: exploring support for the exercise of legal capacity&lt;/title&gt;&lt;secondary-title&gt;Scandinavian Journal of Disability Research&lt;/secondary-title&gt;&lt;/titles&gt;&lt;periodical&gt;&lt;full-title&gt;Scandinavian Journal of Disability Research&lt;/full-title&gt;&lt;/periodical&gt;&lt;pages&gt;77-92&lt;/pages&gt;&lt;volume&gt;18&lt;/volume&gt;&lt;number&gt;1&lt;/number&gt;&lt;dates&gt;&lt;year&gt;2016&lt;/year&gt;&lt;/dates&gt;&lt;isbn&gt;1501-7419&lt;/isbn&gt;&lt;urls&gt;&lt;/urls&gt;&lt;/record&gt;&lt;/Cite&gt;&lt;/EndNote&gt;</w:instrText>
      </w:r>
      <w:r>
        <w:fldChar w:fldCharType="separate"/>
      </w:r>
      <w:r w:rsidRPr="004E07AE">
        <w:t>(</w:t>
      </w:r>
      <w:hyperlink w:anchor="_ENREF_1" w:tooltip="Arstein-Kerslake, 2016 #3" w:history="1">
        <w:r w:rsidRPr="004E07AE">
          <w:t>Arstein-Kerslake, 2016</w:t>
        </w:r>
      </w:hyperlink>
      <w:r w:rsidRPr="004E07AE">
        <w:t>)</w:t>
      </w:r>
      <w:r>
        <w:fldChar w:fldCharType="end"/>
      </w:r>
      <w:r>
        <w:t xml:space="preserve">. </w:t>
      </w:r>
    </w:p>
    <w:p w14:paraId="3308B830" w14:textId="77777777" w:rsidR="004E07AE" w:rsidRDefault="004E07AE" w:rsidP="004E07AE">
      <w:pPr>
        <w:numPr>
          <w:ilvl w:val="0"/>
          <w:numId w:val="15"/>
        </w:numPr>
      </w:pPr>
      <w:r>
        <w:t xml:space="preserve">Complementing the academic literature, the practice evidence suggests that, in the developing context of the NDIS, the focus of current supported decision-making programs appears to be less about direct safeguarding measures and more about developing the capacity of people with disability to make decisions that will help them make personal plans  and manage their NDIS packages. The three main focuses of the current programs are: </w:t>
      </w:r>
    </w:p>
    <w:p w14:paraId="708EE4EC" w14:textId="77777777" w:rsidR="004E07AE" w:rsidRDefault="004E07AE" w:rsidP="004E07AE">
      <w:pPr>
        <w:pStyle w:val="ListNumber"/>
      </w:pPr>
      <w:r>
        <w:t>Developing financial decision-making and literacy;</w:t>
      </w:r>
    </w:p>
    <w:p w14:paraId="34F1299F" w14:textId="77777777" w:rsidR="004E07AE" w:rsidRDefault="004E07AE" w:rsidP="004E07AE">
      <w:pPr>
        <w:pStyle w:val="ListNumber"/>
      </w:pPr>
      <w:r>
        <w:t>Developing decision-making capacity for planning needs, goals and supports;</w:t>
      </w:r>
    </w:p>
    <w:p w14:paraId="22D68437" w14:textId="77777777" w:rsidR="004E07AE" w:rsidRDefault="004E07AE" w:rsidP="004E07AE">
      <w:pPr>
        <w:pStyle w:val="ListNumber"/>
      </w:pPr>
      <w:r>
        <w:t xml:space="preserve">Developing decision-making as a general life skill. </w:t>
      </w:r>
    </w:p>
    <w:p w14:paraId="1A9B0873" w14:textId="77777777" w:rsidR="004E07AE" w:rsidRDefault="004E07AE" w:rsidP="004E07AE">
      <w:pPr>
        <w:numPr>
          <w:ilvl w:val="0"/>
          <w:numId w:val="15"/>
        </w:numPr>
      </w:pPr>
      <w:r>
        <w:t xml:space="preserve">In some cases, these areas may intersect with safeguarding considerations. Sometimes this intersection is directly about preventing harm. For example, building capacity for financial decision-making and literacy is a policy response to a situation in which people with disability have historically been seen as vulnerable to financial exploitation and abuse and have therefore commonly had their financial decision-making authority removed and substitute decision-making orders applied instead. In this context, support for financial decision-making can be seen as a safeguarding measure aimed at reducing financial abuse and restoring autonomy. This focus of the Australian practice evidence on financial decision-making also reflects growing international concern about financial abuse as self-directed budgets have become more common </w:t>
      </w:r>
      <w:r w:rsidRPr="00961A66">
        <w:fldChar w:fldCharType="begin"/>
      </w:r>
      <w:r>
        <w:instrText xml:space="preserve"> ADDIN EN.CITE &lt;EndNote&gt;&lt;Cite&gt;&lt;Author&gt;Manthorpe&lt;/Author&gt;&lt;Year&gt;2013&lt;/Year&gt;&lt;RecNum&gt;12&lt;/RecNum&gt;&lt;DisplayText&gt;(Manthorpe and Samsi, 2013, Junne and Huber, 2014)&lt;/DisplayText&gt;&lt;record&gt;&lt;rec-number&gt;12&lt;/rec-number&gt;&lt;foreign-keys&gt;&lt;key app="EN" db-id="e2pvpettoe5ddver2zlpspd00avfvwwf99z5"&gt;12&lt;/key&gt;&lt;/foreign-keys&gt;&lt;ref-type name="Journal Article"&gt;17&lt;/ref-type&gt;&lt;contributors&gt;&lt;authors&gt;&lt;author&gt;Manthorpe, Jill&lt;/author&gt;&lt;author&gt;Samsi, Kritika&lt;/author&gt;&lt;/authors&gt;&lt;/contributors&gt;&lt;titles&gt;&lt;title&gt;‘Inherently Risky?’: personal budgets for people with dementia and the risks of financial abuse: findings from an interview-based study with adult safeguarding coordinators&lt;/title&gt;&lt;secondary-title&gt;British Journal of Social Work&lt;/secondary-title&gt;&lt;/titles&gt;&lt;periodical&gt;&lt;full-title&gt;British Journal of Social Work&lt;/full-title&gt;&lt;/periodical&gt;&lt;pages&gt;889-903&lt;/pages&gt;&lt;volume&gt;43&lt;/volume&gt;&lt;number&gt;5&lt;/number&gt;&lt;dates&gt;&lt;year&gt;2013&lt;/year&gt;&lt;/dates&gt;&lt;isbn&gt;0045-3102&lt;/isbn&gt;&lt;urls&gt;&lt;/urls&gt;&lt;/record&gt;&lt;/Cite&gt;&lt;Cite&gt;&lt;Author&gt;Junne&lt;/Author&gt;&lt;Year&gt;2014&lt;/Year&gt;&lt;RecNum&gt;19&lt;/RecNum&gt;&lt;record&gt;&lt;rec-number&gt;19&lt;/rec-number&gt;&lt;foreign-keys&gt;&lt;key app="EN" db-id="e2pvpettoe5ddver2zlpspd00avfvwwf99z5"&gt;19&lt;/key&gt;&lt;/foreign-keys&gt;&lt;ref-type name="Journal Article"&gt;17&lt;/ref-type&gt;&lt;contributors&gt;&lt;authors&gt;&lt;author&gt;Junne, Jaromir&lt;/author&gt;&lt;author&gt;Huber, Christian&lt;/author&gt;&lt;/authors&gt;&lt;/contributors&gt;&lt;titles&gt;&lt;title&gt;The risk of users’ choice: exploring the case of direct payments in German social care&lt;/title&gt;&lt;secondary-title&gt;Health, Risk &amp;amp; Society&lt;/secondary-title&gt;&lt;/titles&gt;&lt;periodical&gt;&lt;full-title&gt;Health, Risk &amp;amp; Society&lt;/full-title&gt;&lt;/periodical&gt;&lt;pages&gt;631-648&lt;/pages&gt;&lt;volume&gt;16&lt;/volume&gt;&lt;number&gt;7-8&lt;/number&gt;&lt;dates&gt;&lt;year&gt;2014&lt;/year&gt;&lt;/dates&gt;&lt;isbn&gt;1369-8575&lt;/isbn&gt;&lt;urls&gt;&lt;/urls&gt;&lt;/record&gt;&lt;/Cite&gt;&lt;/EndNote&gt;</w:instrText>
      </w:r>
      <w:r w:rsidRPr="00961A66">
        <w:fldChar w:fldCharType="separate"/>
      </w:r>
      <w:r w:rsidRPr="004E07AE">
        <w:t>(</w:t>
      </w:r>
      <w:hyperlink w:anchor="_ENREF_32" w:tooltip="Manthorpe, 2013 #12" w:history="1">
        <w:r w:rsidRPr="004E07AE">
          <w:t>Manthorpe and Samsi, 2013</w:t>
        </w:r>
      </w:hyperlink>
      <w:r w:rsidRPr="004E07AE">
        <w:t xml:space="preserve">, </w:t>
      </w:r>
      <w:hyperlink w:anchor="_ENREF_27" w:tooltip="Junne, 2014 #19" w:history="1">
        <w:r w:rsidRPr="004E07AE">
          <w:t>Junne and Huber, 2014</w:t>
        </w:r>
      </w:hyperlink>
      <w:r w:rsidRPr="004E07AE">
        <w:t>)</w:t>
      </w:r>
      <w:r w:rsidRPr="00961A66">
        <w:fldChar w:fldCharType="end"/>
      </w:r>
      <w:r>
        <w:t xml:space="preserve">. </w:t>
      </w:r>
    </w:p>
    <w:p w14:paraId="489FEEC8" w14:textId="77777777" w:rsidR="004E07AE" w:rsidRDefault="004E07AE" w:rsidP="004E07AE">
      <w:pPr>
        <w:numPr>
          <w:ilvl w:val="0"/>
          <w:numId w:val="15"/>
        </w:numPr>
      </w:pPr>
      <w:r>
        <w:t xml:space="preserve">At other times, the intersection between the current focus of Australian supported decision-making programs and safeguarding is about promoting safety in everyday life. For example, decisions about promoting safety may be embedded across the broader decisions about lifestyle, living arrangements and social, economic, community and civic participation that people with disability are supported to make in current Australian programs. In this context, safeguarding becomes one component of a broader curriculum of supported decision-making, and one embedded across a range of life decisions. The shared emphasis of the programs on an empowerment approach also highlights their advocacy context and their role in supporting self-determination of the people they support. </w:t>
      </w:r>
    </w:p>
    <w:p w14:paraId="3A9841AD" w14:textId="77777777" w:rsidR="004E07AE" w:rsidRDefault="004E07AE" w:rsidP="004E07AE">
      <w:pPr>
        <w:numPr>
          <w:ilvl w:val="0"/>
          <w:numId w:val="15"/>
        </w:numPr>
      </w:pPr>
      <w:r>
        <w:t xml:space="preserve">Drawing the academic and practice literature together, the topics or subjects of safeguarding decisions that people with disability may require support with are about addressing abuse and harm, but also often about promoting safety within what is happening in their day-to-day lives, both at home and in the community. In this sense, they may require both reactive and proactive forms of support.    </w:t>
      </w:r>
    </w:p>
    <w:p w14:paraId="7E1C6D93" w14:textId="77777777" w:rsidR="006772E1" w:rsidRPr="006772E1" w:rsidRDefault="006772E1" w:rsidP="006772E1">
      <w:pPr>
        <w:pStyle w:val="Heading1"/>
      </w:pPr>
      <w:bookmarkStart w:id="8" w:name="_Toc480381285"/>
      <w:r w:rsidRPr="006772E1">
        <w:lastRenderedPageBreak/>
        <w:t>Types of support and promising practices for delivery</w:t>
      </w:r>
      <w:bookmarkEnd w:id="8"/>
    </w:p>
    <w:p w14:paraId="23A4978A" w14:textId="77777777" w:rsidR="006772E1" w:rsidRPr="006772E1" w:rsidRDefault="006772E1" w:rsidP="006772E1">
      <w:pPr>
        <w:pStyle w:val="Heading2"/>
      </w:pPr>
      <w:bookmarkStart w:id="9" w:name="_Toc480381286"/>
      <w:r w:rsidRPr="006772E1">
        <w:t>Support to people with disability</w:t>
      </w:r>
      <w:bookmarkEnd w:id="9"/>
    </w:p>
    <w:p w14:paraId="7C565BC6" w14:textId="77777777" w:rsidR="006772E1" w:rsidRDefault="006772E1" w:rsidP="006772E1">
      <w:pPr>
        <w:numPr>
          <w:ilvl w:val="0"/>
          <w:numId w:val="15"/>
        </w:numPr>
      </w:pPr>
      <w:r>
        <w:t xml:space="preserve">The existing academic literature has identified types of support that people with disability say they seek and/or value when making decisions about promoting personal safety and preventing harm and has identified some promising practices for the delivery of these types of support. There appears to be only a small amount of literature that addresses these areas directly, much of it related particularly to people with intellectual disability. Other partial insights can however be gleaned from a broader range of studies. </w:t>
      </w:r>
    </w:p>
    <w:p w14:paraId="180BC88C" w14:textId="77777777" w:rsidR="006772E1" w:rsidRDefault="006772E1" w:rsidP="006772E1">
      <w:pPr>
        <w:numPr>
          <w:ilvl w:val="0"/>
          <w:numId w:val="15"/>
        </w:numPr>
      </w:pPr>
      <w:r>
        <w:t>However</w:t>
      </w:r>
      <w:r w:rsidRPr="008D5E35">
        <w:t xml:space="preserve">, practice development is currently ahead of </w:t>
      </w:r>
      <w:r>
        <w:t>evidence from the</w:t>
      </w:r>
      <w:r w:rsidRPr="008D5E35">
        <w:t xml:space="preserve"> academic </w:t>
      </w:r>
      <w:r>
        <w:t>literature</w:t>
      </w:r>
      <w:r w:rsidRPr="008D5E35">
        <w:t xml:space="preserve"> and suggests further promising practices</w:t>
      </w:r>
      <w:r w:rsidRPr="009301DD">
        <w:t xml:space="preserve">, both for working with </w:t>
      </w:r>
      <w:r w:rsidRPr="008D5E35">
        <w:t xml:space="preserve">groups and individuals, as well as identifying more general useful practices. </w:t>
      </w:r>
      <w:r>
        <w:t>T</w:t>
      </w:r>
      <w:r w:rsidRPr="008D5E35">
        <w:t>he programs from which these</w:t>
      </w:r>
      <w:r>
        <w:t xml:space="preserve"> practice</w:t>
      </w:r>
      <w:r w:rsidRPr="008D5E35">
        <w:t xml:space="preserve"> insights are drawn have not </w:t>
      </w:r>
      <w:r>
        <w:t xml:space="preserve">all </w:t>
      </w:r>
      <w:r w:rsidRPr="008D5E35">
        <w:t>been formally evaluated yet</w:t>
      </w:r>
      <w:r>
        <w:t>. However, as noted in the introduction to this paper,</w:t>
      </w:r>
      <w:r w:rsidRPr="008D5E35">
        <w:t xml:space="preserve"> key learnings </w:t>
      </w:r>
      <w:r>
        <w:t>have been</w:t>
      </w:r>
      <w:r w:rsidRPr="008D5E35">
        <w:t xml:space="preserve"> taken from personal consultations, available resources, conference presentations and information shared in the NSW Supported Decision Making Community of Practice.</w:t>
      </w:r>
    </w:p>
    <w:p w14:paraId="17196207" w14:textId="77777777" w:rsidR="006772E1" w:rsidRDefault="006772E1" w:rsidP="006772E1">
      <w:pPr>
        <w:numPr>
          <w:ilvl w:val="0"/>
          <w:numId w:val="15"/>
        </w:numPr>
        <w:sectPr w:rsidR="006772E1" w:rsidSect="008C7A2C">
          <w:footerReference w:type="default" r:id="rId18"/>
          <w:type w:val="continuous"/>
          <w:pgSz w:w="11906" w:h="16838" w:code="9"/>
          <w:pgMar w:top="1418" w:right="1134" w:bottom="1418" w:left="1134" w:header="680" w:footer="284" w:gutter="0"/>
          <w:pgNumType w:start="1"/>
          <w:cols w:space="708"/>
          <w:docGrid w:linePitch="360"/>
        </w:sectPr>
      </w:pPr>
      <w:r>
        <w:t xml:space="preserve">Drawing from the academic and practice evidence, key types of support to people with disability and promising practices for delivery of it then include: </w:t>
      </w:r>
    </w:p>
    <w:tbl>
      <w:tblPr>
        <w:tblStyle w:val="TableGrid"/>
        <w:tblW w:w="0" w:type="auto"/>
        <w:tblLook w:val="0420" w:firstRow="1" w:lastRow="0" w:firstColumn="0" w:lastColumn="0" w:noHBand="0" w:noVBand="1"/>
      </w:tblPr>
      <w:tblGrid>
        <w:gridCol w:w="3587"/>
        <w:gridCol w:w="5477"/>
        <w:gridCol w:w="5438"/>
      </w:tblGrid>
      <w:tr w:rsidR="006772E1" w14:paraId="3D83A279" w14:textId="77777777" w:rsidTr="006772E1">
        <w:trPr>
          <w:cnfStyle w:val="100000000000" w:firstRow="1" w:lastRow="0" w:firstColumn="0" w:lastColumn="0" w:oddVBand="0" w:evenVBand="0" w:oddHBand="0" w:evenHBand="0" w:firstRowFirstColumn="0" w:firstRowLastColumn="0" w:lastRowFirstColumn="0" w:lastRowLastColumn="0"/>
        </w:trPr>
        <w:tc>
          <w:tcPr>
            <w:tcW w:w="3587" w:type="dxa"/>
          </w:tcPr>
          <w:p w14:paraId="43D25EBD" w14:textId="77777777" w:rsidR="006772E1" w:rsidRPr="006772E1" w:rsidRDefault="006772E1" w:rsidP="006772E1">
            <w:pPr>
              <w:numPr>
                <w:ilvl w:val="0"/>
                <w:numId w:val="15"/>
              </w:numPr>
              <w:spacing w:beforeLines="60" w:before="144" w:afterLines="60" w:after="144"/>
              <w:jc w:val="left"/>
            </w:pPr>
            <w:r w:rsidRPr="006772E1">
              <w:lastRenderedPageBreak/>
              <w:t>Type of support</w:t>
            </w:r>
          </w:p>
        </w:tc>
        <w:tc>
          <w:tcPr>
            <w:tcW w:w="5477" w:type="dxa"/>
          </w:tcPr>
          <w:p w14:paraId="78895B56" w14:textId="77777777" w:rsidR="006772E1" w:rsidRPr="006772E1" w:rsidRDefault="006772E1" w:rsidP="006772E1">
            <w:pPr>
              <w:numPr>
                <w:ilvl w:val="0"/>
                <w:numId w:val="15"/>
              </w:numPr>
              <w:spacing w:beforeLines="60" w:before="144" w:afterLines="60" w:after="144"/>
              <w:jc w:val="left"/>
            </w:pPr>
            <w:r w:rsidRPr="006772E1">
              <w:t>Promising practices – academic evidence</w:t>
            </w:r>
          </w:p>
        </w:tc>
        <w:tc>
          <w:tcPr>
            <w:tcW w:w="5438" w:type="dxa"/>
          </w:tcPr>
          <w:p w14:paraId="4881FAE9" w14:textId="77777777" w:rsidR="006772E1" w:rsidRPr="006772E1" w:rsidRDefault="006772E1" w:rsidP="006772E1">
            <w:pPr>
              <w:numPr>
                <w:ilvl w:val="0"/>
                <w:numId w:val="15"/>
              </w:numPr>
              <w:spacing w:beforeLines="60" w:before="144" w:afterLines="60" w:after="144"/>
              <w:jc w:val="left"/>
            </w:pPr>
            <w:r w:rsidRPr="006772E1">
              <w:t>Promising practices – practice evidence</w:t>
            </w:r>
          </w:p>
        </w:tc>
      </w:tr>
      <w:tr w:rsidR="006772E1" w14:paraId="3EDC9EC6" w14:textId="77777777" w:rsidTr="006772E1">
        <w:trPr>
          <w:cnfStyle w:val="000000100000" w:firstRow="0" w:lastRow="0" w:firstColumn="0" w:lastColumn="0" w:oddVBand="0" w:evenVBand="0" w:oddHBand="1" w:evenHBand="0" w:firstRowFirstColumn="0" w:firstRowLastColumn="0" w:lastRowFirstColumn="0" w:lastRowLastColumn="0"/>
        </w:trPr>
        <w:tc>
          <w:tcPr>
            <w:tcW w:w="3587" w:type="dxa"/>
          </w:tcPr>
          <w:p w14:paraId="7DFCD006" w14:textId="77777777" w:rsidR="006772E1" w:rsidRPr="006772E1" w:rsidRDefault="006772E1" w:rsidP="006772E1">
            <w:pPr>
              <w:numPr>
                <w:ilvl w:val="0"/>
                <w:numId w:val="15"/>
              </w:numPr>
              <w:spacing w:beforeLines="60" w:before="144" w:afterLines="60" w:after="144"/>
              <w:jc w:val="left"/>
            </w:pPr>
            <w:r w:rsidRPr="006772E1">
              <w:t xml:space="preserve">Being provided with </w:t>
            </w:r>
            <w:r w:rsidRPr="00F26732">
              <w:rPr>
                <w:b/>
              </w:rPr>
              <w:t>information</w:t>
            </w:r>
            <w:r w:rsidRPr="006772E1">
              <w:t xml:space="preserve"> </w:t>
            </w:r>
            <w:r w:rsidRPr="006772E1">
              <w:fldChar w:fldCharType="begin"/>
            </w:r>
            <w:r w:rsidRPr="006772E1">
              <w:instrText xml:space="preserve"> ADDIN EN.CITE &lt;EndNote&gt;&lt;Cite&gt;&lt;Author&gt;Stevens&lt;/Author&gt;&lt;Year&gt;2014&lt;/Year&gt;&lt;RecNum&gt;16&lt;/RecNum&gt;&lt;DisplayText&gt;(Stevens et al., 2014)&lt;/DisplayText&gt;&lt;record&gt;&lt;rec-number&gt;16&lt;/rec-number&gt;&lt;foreign-keys&gt;&lt;key app="EN" db-id="e2pvpettoe5ddver2zlpspd00avfvwwf99z5"&gt;16&lt;/key&gt;&lt;/foreign-keys&gt;&lt;ref-type name="Journal Article"&gt;17&lt;/ref-type&gt;&lt;contributors&gt;&lt;authors&gt;&lt;author&gt;Stevens, Martin&lt;/author&gt;&lt;author&gt;Aspinal, Fiona Jane&lt;/author&gt;&lt;author&gt;Woolham, J&lt;/author&gt;&lt;author&gt;Manthorpe, Jill&lt;/author&gt;&lt;author&gt;Hussein, Shereen&lt;/author&gt;&lt;author&gt;Samsi, Kritika&lt;/author&gt;&lt;author&gt;Baxter, Kate&lt;/author&gt;&lt;author&gt;Ismail, Mohamed&lt;/author&gt;&lt;/authors&gt;&lt;/contributors&gt;&lt;titles&gt;&lt;title&gt;Risk, safeguarding and personal budgets: exploring relationships and identifying good practice&lt;/title&gt;&lt;/titles&gt;&lt;dates&gt;&lt;year&gt;2014&lt;/year&gt;&lt;/dates&gt;&lt;urls&gt;&lt;/urls&gt;&lt;/record&gt;&lt;/Cite&gt;&lt;/EndNote&gt;</w:instrText>
            </w:r>
            <w:r w:rsidRPr="006772E1">
              <w:fldChar w:fldCharType="separate"/>
            </w:r>
            <w:r w:rsidRPr="006772E1">
              <w:t>(</w:t>
            </w:r>
            <w:hyperlink w:anchor="_ENREF_56" w:tooltip="Stevens, 2014 #16" w:history="1">
              <w:r w:rsidRPr="006772E1">
                <w:t>Stevens et al., 2014</w:t>
              </w:r>
            </w:hyperlink>
            <w:r w:rsidRPr="006772E1">
              <w:t>)</w:t>
            </w:r>
            <w:r w:rsidRPr="006772E1">
              <w:fldChar w:fldCharType="end"/>
            </w:r>
            <w:r w:rsidRPr="006772E1">
              <w:t xml:space="preserve">, including information about their </w:t>
            </w:r>
            <w:r w:rsidRPr="00F26732">
              <w:rPr>
                <w:b/>
              </w:rPr>
              <w:t>legal rights</w:t>
            </w:r>
            <w:r w:rsidRPr="006772E1">
              <w:t xml:space="preserve"> and about how other people should be expected to treat them </w:t>
            </w:r>
            <w:r w:rsidRPr="006772E1">
              <w:fldChar w:fldCharType="begin"/>
            </w:r>
            <w:r w:rsidRPr="006772E1">
              <w:instrText xml:space="preserve"> ADDIN EN.CITE &lt;EndNote&gt;&lt;Cite&gt;&lt;Author&gt;Northway&lt;/Author&gt;&lt;Year&gt;2013&lt;/Year&gt;&lt;RecNum&gt;22&lt;/RecNum&gt;&lt;DisplayText&gt;(Northway et al., 2013a)&lt;/DisplayText&gt;&lt;record&gt;&lt;rec-number&gt;22&lt;/rec-number&gt;&lt;foreign-keys&gt;&lt;key app="EN" db-id="e2pvpettoe5ddver2zlpspd00avfvwwf99z5"&gt;22&lt;/key&gt;&lt;/foreign-keys&gt;&lt;ref-type name="Journal Article"&gt;17&lt;/ref-type&gt;&lt;contributors&gt;&lt;authors&gt;&lt;author&gt;Northway, Ruth&lt;/author&gt;&lt;author&gt;Bennett, Davey&lt;/author&gt;&lt;author&gt;Melsome, Mel&lt;/author&gt;&lt;author&gt;Flood, Samantha&lt;/author&gt;&lt;author&gt;Howarth, Joyce&lt;/author&gt;&lt;author&gt;Jones, Richard&lt;/author&gt;&lt;/authors&gt;&lt;/contributors&gt;&lt;titles&gt;&lt;title&gt;Keeping safe and providing support: a participatory survey about abuse and people with intellectual disabilities&lt;/title&gt;&lt;secondary-title&gt;Journal of Policy and Practice in Intellectual Disabilities&lt;/secondary-title&gt;&lt;/titles&gt;&lt;periodical&gt;&lt;full-title&gt;Journal of Policy and Practice in Intellectual Disabilities&lt;/full-title&gt;&lt;/periodical&gt;&lt;pages&gt;236-244&lt;/pages&gt;&lt;volume&gt;10&lt;/volume&gt;&lt;number&gt;3&lt;/number&gt;&lt;dates&gt;&lt;year&gt;2013&lt;/year&gt;&lt;/dates&gt;&lt;isbn&gt;1741-1130&lt;/isbn&gt;&lt;urls&gt;&lt;/urls&gt;&lt;/record&gt;&lt;/Cite&gt;&lt;/EndNote&gt;</w:instrText>
            </w:r>
            <w:r w:rsidRPr="006772E1">
              <w:fldChar w:fldCharType="separate"/>
            </w:r>
            <w:r w:rsidRPr="006772E1">
              <w:t>(</w:t>
            </w:r>
            <w:hyperlink w:anchor="_ENREF_40" w:tooltip="Northway, 2013 #22" w:history="1">
              <w:r w:rsidRPr="006772E1">
                <w:t>Northway et al., 2013a</w:t>
              </w:r>
            </w:hyperlink>
            <w:r w:rsidRPr="006772E1">
              <w:t>)</w:t>
            </w:r>
            <w:r w:rsidRPr="006772E1">
              <w:fldChar w:fldCharType="end"/>
            </w:r>
            <w:r w:rsidRPr="006772E1">
              <w:t>.</w:t>
            </w:r>
          </w:p>
        </w:tc>
        <w:tc>
          <w:tcPr>
            <w:tcW w:w="5477" w:type="dxa"/>
          </w:tcPr>
          <w:p w14:paraId="66C56EBD" w14:textId="77777777" w:rsidR="006772E1" w:rsidRPr="006772E1" w:rsidRDefault="006772E1" w:rsidP="006772E1">
            <w:pPr>
              <w:numPr>
                <w:ilvl w:val="0"/>
                <w:numId w:val="15"/>
              </w:numPr>
              <w:spacing w:beforeLines="60" w:before="144" w:afterLines="60" w:after="144"/>
              <w:jc w:val="left"/>
            </w:pPr>
            <w:r w:rsidRPr="006772E1">
              <w:t xml:space="preserve">Information can be effectively provided through multiple accessible formats, including DVDs and comics </w:t>
            </w:r>
            <w:r w:rsidRPr="006772E1">
              <w:fldChar w:fldCharType="begin"/>
            </w:r>
            <w:r w:rsidRPr="006772E1">
              <w:instrText xml:space="preserve"> ADDIN EN.CITE &lt;EndNote&gt;&lt;Cite&gt;&lt;Author&gt;Northway&lt;/Author&gt;&lt;Year&gt;2013&lt;/Year&gt;&lt;RecNum&gt;22&lt;/RecNum&gt;&lt;DisplayText&gt;(Northway et al., 2013a)&lt;/DisplayText&gt;&lt;record&gt;&lt;rec-number&gt;22&lt;/rec-number&gt;&lt;foreign-keys&gt;&lt;key app="EN" db-id="e2pvpettoe5ddver2zlpspd00avfvwwf99z5"&gt;22&lt;/key&gt;&lt;/foreign-keys&gt;&lt;ref-type name="Journal Article"&gt;17&lt;/ref-type&gt;&lt;contributors&gt;&lt;authors&gt;&lt;author&gt;Northway, Ruth&lt;/author&gt;&lt;author&gt;Bennett, Davey&lt;/author&gt;&lt;author&gt;Melsome, Mel&lt;/author&gt;&lt;author&gt;Flood, Samantha&lt;/author&gt;&lt;author&gt;Howarth, Joyce&lt;/author&gt;&lt;author&gt;Jones, Richard&lt;/author&gt;&lt;/authors&gt;&lt;/contributors&gt;&lt;titles&gt;&lt;title&gt;Keeping safe and providing support: a participatory survey about abuse and people with intellectual disabilities&lt;/title&gt;&lt;secondary-title&gt;Journal of Policy and Practice in Intellectual Disabilities&lt;/secondary-title&gt;&lt;/titles&gt;&lt;periodical&gt;&lt;full-title&gt;Journal of Policy and Practice in Intellectual Disabilities&lt;/full-title&gt;&lt;/periodical&gt;&lt;pages&gt;236-244&lt;/pages&gt;&lt;volume&gt;10&lt;/volume&gt;&lt;number&gt;3&lt;/number&gt;&lt;dates&gt;&lt;year&gt;2013&lt;/year&gt;&lt;/dates&gt;&lt;isbn&gt;1741-1130&lt;/isbn&gt;&lt;urls&gt;&lt;/urls&gt;&lt;/record&gt;&lt;/Cite&gt;&lt;/EndNote&gt;</w:instrText>
            </w:r>
            <w:r w:rsidRPr="006772E1">
              <w:fldChar w:fldCharType="separate"/>
            </w:r>
            <w:r w:rsidRPr="006772E1">
              <w:t>(</w:t>
            </w:r>
            <w:hyperlink w:anchor="_ENREF_40" w:tooltip="Northway, 2013 #22" w:history="1">
              <w:r w:rsidRPr="006772E1">
                <w:t>Northway et al., 2013a</w:t>
              </w:r>
            </w:hyperlink>
            <w:r w:rsidRPr="006772E1">
              <w:t>)</w:t>
            </w:r>
            <w:r w:rsidRPr="006772E1">
              <w:fldChar w:fldCharType="end"/>
            </w:r>
            <w:r w:rsidRPr="006772E1">
              <w:t>. In some cases, accessible resources have been developed for specific groups, for example, people who use alternative and augmentative communication</w:t>
            </w:r>
            <w:r w:rsidRPr="006772E1">
              <w:rPr>
                <w:rStyle w:val="FootnoteReference"/>
              </w:rPr>
              <w:footnoteReference w:id="1"/>
            </w:r>
            <w:r w:rsidRPr="006772E1">
              <w:t xml:space="preserve">, although other research has also reported that a lack of such resources is a major barrier to discussing safeguarding issues </w:t>
            </w:r>
            <w:r w:rsidRPr="006772E1">
              <w:fldChar w:fldCharType="begin"/>
            </w:r>
            <w:r w:rsidRPr="006772E1">
              <w:instrText xml:space="preserve"> ADDIN EN.CITE &lt;EndNote&gt;&lt;Cite&gt;&lt;Author&gt;Oosterhoorn&lt;/Author&gt;&lt;Year&gt;2001&lt;/Year&gt;&lt;RecNum&gt;44&lt;/RecNum&gt;&lt;DisplayText&gt;(Oosterhoorn and Kendrick, 2001)&lt;/DisplayText&gt;&lt;record&gt;&lt;rec-number&gt;44&lt;/rec-number&gt;&lt;foreign-keys&gt;&lt;key app="EN" db-id="e2pvpettoe5ddver2zlpspd00avfvwwf99z5"&gt;44&lt;/key&gt;&lt;/foreign-keys&gt;&lt;ref-type name="Journal Article"&gt;17&lt;/ref-type&gt;&lt;contributors&gt;&lt;authors&gt;&lt;author&gt;Oosterhoorn, Rebecca&lt;/author&gt;&lt;author&gt;Kendrick, Andrew&lt;/author&gt;&lt;/authors&gt;&lt;/contributors&gt;&lt;titles&gt;&lt;title&gt;No sign of harm: Issues for disabled children communicating about abuse&lt;/title&gt;&lt;secondary-title&gt;Child Abuse Review&lt;/secondary-title&gt;&lt;/titles&gt;&lt;periodical&gt;&lt;full-title&gt;Child Abuse Review&lt;/full-title&gt;&lt;/periodical&gt;&lt;pages&gt;243-253&lt;/pages&gt;&lt;volume&gt;10&lt;/volume&gt;&lt;number&gt;4&lt;/number&gt;&lt;dates&gt;&lt;year&gt;2001&lt;/year&gt;&lt;/dates&gt;&lt;isbn&gt;1099-0852&lt;/isbn&gt;&lt;urls&gt;&lt;/urls&gt;&lt;/record&gt;&lt;/Cite&gt;&lt;/EndNote&gt;</w:instrText>
            </w:r>
            <w:r w:rsidRPr="006772E1">
              <w:fldChar w:fldCharType="separate"/>
            </w:r>
            <w:r w:rsidRPr="006772E1">
              <w:t>(</w:t>
            </w:r>
            <w:hyperlink w:anchor="_ENREF_42" w:tooltip="Oosterhoorn, 2001 #44" w:history="1">
              <w:r w:rsidRPr="006772E1">
                <w:t>Oosterhoorn and Kendrick, 2001</w:t>
              </w:r>
            </w:hyperlink>
            <w:r w:rsidRPr="006772E1">
              <w:t>)</w:t>
            </w:r>
            <w:r w:rsidRPr="006772E1">
              <w:fldChar w:fldCharType="end"/>
            </w:r>
            <w:r w:rsidRPr="006772E1">
              <w:t>.</w:t>
            </w:r>
          </w:p>
        </w:tc>
        <w:tc>
          <w:tcPr>
            <w:tcW w:w="5438" w:type="dxa"/>
          </w:tcPr>
          <w:p w14:paraId="3F362C8A" w14:textId="77777777" w:rsidR="006772E1" w:rsidRDefault="006772E1" w:rsidP="00F26732">
            <w:pPr>
              <w:numPr>
                <w:ilvl w:val="0"/>
                <w:numId w:val="15"/>
              </w:numPr>
              <w:spacing w:beforeLines="60" w:before="144" w:afterLines="60" w:after="144"/>
              <w:jc w:val="left"/>
            </w:pPr>
            <w:r w:rsidRPr="006772E1">
              <w:t xml:space="preserve">Group work: </w:t>
            </w:r>
          </w:p>
          <w:p w14:paraId="1C5788D8" w14:textId="77777777" w:rsidR="006772E1" w:rsidRPr="006772E1" w:rsidRDefault="006772E1" w:rsidP="00F26732">
            <w:pPr>
              <w:pStyle w:val="ListBullet"/>
              <w:spacing w:before="60" w:after="60"/>
              <w:ind w:left="0" w:firstLine="0"/>
              <w:jc w:val="left"/>
            </w:pPr>
            <w:r w:rsidRPr="006772E1">
              <w:t>Co-develop rights and empowerment language</w:t>
            </w:r>
          </w:p>
          <w:p w14:paraId="652990B9" w14:textId="77777777" w:rsidR="006772E1" w:rsidRPr="006772E1" w:rsidRDefault="006772E1" w:rsidP="00F26732">
            <w:pPr>
              <w:pStyle w:val="ListBullet"/>
              <w:spacing w:before="60" w:after="60"/>
              <w:ind w:left="0" w:firstLine="0"/>
              <w:jc w:val="left"/>
            </w:pPr>
            <w:r w:rsidRPr="006772E1">
              <w:t xml:space="preserve">Physical activities to illustrate concepts </w:t>
            </w:r>
          </w:p>
          <w:p w14:paraId="06A1E346" w14:textId="77777777" w:rsidR="006772E1" w:rsidRPr="006772E1" w:rsidRDefault="006772E1" w:rsidP="00F26732">
            <w:pPr>
              <w:numPr>
                <w:ilvl w:val="0"/>
                <w:numId w:val="15"/>
              </w:numPr>
              <w:spacing w:beforeLines="60" w:before="144" w:afterLines="60" w:after="144"/>
              <w:jc w:val="left"/>
            </w:pPr>
            <w:r w:rsidRPr="006772E1">
              <w:t xml:space="preserve">Individual work: </w:t>
            </w:r>
          </w:p>
          <w:p w14:paraId="0B98B4A6" w14:textId="77777777" w:rsidR="006772E1" w:rsidRPr="006772E1" w:rsidRDefault="006772E1" w:rsidP="00F26732">
            <w:pPr>
              <w:pStyle w:val="ListBullet"/>
              <w:spacing w:before="60" w:after="60"/>
              <w:ind w:left="0" w:firstLine="0"/>
              <w:jc w:val="left"/>
            </w:pPr>
            <w:r w:rsidRPr="006772E1">
              <w:t>Scaffolding learning</w:t>
            </w:r>
          </w:p>
          <w:p w14:paraId="7C56EAF7" w14:textId="77777777" w:rsidR="006772E1" w:rsidRPr="006772E1" w:rsidRDefault="006772E1" w:rsidP="00F26732">
            <w:pPr>
              <w:numPr>
                <w:ilvl w:val="0"/>
                <w:numId w:val="15"/>
              </w:numPr>
              <w:spacing w:beforeLines="60" w:before="144" w:afterLines="60" w:after="144"/>
              <w:jc w:val="left"/>
            </w:pPr>
            <w:r w:rsidRPr="006772E1">
              <w:t xml:space="preserve">General strategies: </w:t>
            </w:r>
          </w:p>
          <w:p w14:paraId="2D80FB72" w14:textId="77777777" w:rsidR="006772E1" w:rsidRPr="006772E1" w:rsidRDefault="006772E1" w:rsidP="00F26732">
            <w:pPr>
              <w:pStyle w:val="ListBullet"/>
              <w:spacing w:before="60" w:after="60"/>
              <w:ind w:left="0" w:firstLine="0"/>
              <w:jc w:val="left"/>
            </w:pPr>
            <w:r w:rsidRPr="006772E1">
              <w:t>Visual resources and tools, e.g.:</w:t>
            </w:r>
          </w:p>
          <w:p w14:paraId="483B05AD" w14:textId="77777777" w:rsidR="006772E1" w:rsidRPr="006772E1" w:rsidRDefault="00F26732" w:rsidP="00F26732">
            <w:pPr>
              <w:pStyle w:val="ListBullet2"/>
              <w:numPr>
                <w:ilvl w:val="0"/>
                <w:numId w:val="0"/>
              </w:numPr>
              <w:spacing w:before="60" w:after="60"/>
              <w:ind w:left="357"/>
              <w:jc w:val="left"/>
            </w:pPr>
            <w:r>
              <w:t xml:space="preserve">- </w:t>
            </w:r>
            <w:r w:rsidR="006772E1" w:rsidRPr="006772E1">
              <w:t>About emotions</w:t>
            </w:r>
          </w:p>
          <w:p w14:paraId="1B559FB5" w14:textId="77777777" w:rsidR="006772E1" w:rsidRPr="006772E1" w:rsidRDefault="00F26732" w:rsidP="00F26732">
            <w:pPr>
              <w:pStyle w:val="ListBullet2"/>
              <w:numPr>
                <w:ilvl w:val="0"/>
                <w:numId w:val="0"/>
              </w:numPr>
              <w:spacing w:before="60" w:after="60"/>
              <w:ind w:left="357"/>
              <w:jc w:val="left"/>
            </w:pPr>
            <w:r>
              <w:t xml:space="preserve">- </w:t>
            </w:r>
            <w:r w:rsidR="006772E1" w:rsidRPr="006772E1">
              <w:t xml:space="preserve">About a spectrum of control of decisions </w:t>
            </w:r>
          </w:p>
        </w:tc>
      </w:tr>
      <w:tr w:rsidR="006772E1" w14:paraId="00734E7B" w14:textId="77777777" w:rsidTr="00534A20">
        <w:trPr>
          <w:cnfStyle w:val="000000010000" w:firstRow="0" w:lastRow="0" w:firstColumn="0" w:lastColumn="0" w:oddVBand="0" w:evenVBand="0" w:oddHBand="0" w:evenHBand="1" w:firstRowFirstColumn="0" w:firstRowLastColumn="0" w:lastRowFirstColumn="0" w:lastRowLastColumn="0"/>
        </w:trPr>
        <w:tc>
          <w:tcPr>
            <w:tcW w:w="3587" w:type="dxa"/>
            <w:tcBorders>
              <w:bottom w:val="single" w:sz="4" w:space="0" w:color="auto"/>
            </w:tcBorders>
          </w:tcPr>
          <w:p w14:paraId="30C3D85D" w14:textId="77777777" w:rsidR="006772E1" w:rsidRPr="006772E1" w:rsidRDefault="006772E1" w:rsidP="006772E1">
            <w:pPr>
              <w:numPr>
                <w:ilvl w:val="0"/>
                <w:numId w:val="15"/>
              </w:numPr>
              <w:spacing w:beforeLines="60" w:before="144" w:afterLines="60" w:after="144"/>
              <w:jc w:val="left"/>
            </w:pPr>
            <w:r w:rsidRPr="006772E1">
              <w:t xml:space="preserve">Having opportunities for </w:t>
            </w:r>
            <w:r w:rsidRPr="00F26732">
              <w:rPr>
                <w:b/>
              </w:rPr>
              <w:t>problem-solving</w:t>
            </w:r>
            <w:r w:rsidRPr="006772E1">
              <w:t xml:space="preserve"> discussions and activities </w:t>
            </w:r>
            <w:r w:rsidRPr="006772E1">
              <w:fldChar w:fldCharType="begin"/>
            </w:r>
            <w:r w:rsidRPr="006772E1">
              <w:instrText xml:space="preserve"> ADDIN EN.CITE &lt;EndNote&gt;&lt;Cite&gt;&lt;Author&gt;Daniel&lt;/Author&gt;&lt;Year&gt;2013&lt;/Year&gt;&lt;RecNum&gt;10&lt;/RecNum&gt;&lt;DisplayText&gt;(Daniel et al., 2013)&lt;/DisplayText&gt;&lt;record&gt;&lt;rec-number&gt;10&lt;/rec-number&gt;&lt;foreign-keys&gt;&lt;key app="EN" db-id="e2pvpettoe5ddver2zlpspd00avfvwwf99z5"&gt;10&lt;/key&gt;&lt;/foreign-keys&gt;&lt;ref-type name="Journal Article"&gt;17&lt;/ref-type&gt;&lt;contributors&gt;&lt;authors&gt;&lt;author&gt;Daniel, Brigid&lt;/author&gt;&lt;author&gt;Cross, Beth&lt;/author&gt;&lt;author&gt;Sherwood-Johnson, Fiona&lt;/author&gt;&lt;author&gt;Paton, Diana&lt;/author&gt;&lt;/authors&gt;&lt;/contributors&gt;&lt;titles&gt;&lt;title&gt;Risk and decision making in adult support and protection practice: User views from participant research&lt;/title&gt;&lt;secondary-title&gt;British Journal of Social Work&lt;/secondary-title&gt;&lt;/titles&gt;&lt;periodical&gt;&lt;full-title&gt;British Journal of Social Work&lt;/full-title&gt;&lt;/periodical&gt;&lt;pages&gt;bct032&lt;/pages&gt;&lt;dates&gt;&lt;year&gt;2013&lt;/year&gt;&lt;/dates&gt;&lt;isbn&gt;0045-3102&lt;/isbn&gt;&lt;urls&gt;&lt;/urls&gt;&lt;/record&gt;&lt;/Cite&gt;&lt;/EndNote&gt;</w:instrText>
            </w:r>
            <w:r w:rsidRPr="006772E1">
              <w:fldChar w:fldCharType="separate"/>
            </w:r>
            <w:r w:rsidRPr="006772E1">
              <w:t>(</w:t>
            </w:r>
            <w:hyperlink w:anchor="_ENREF_13" w:tooltip="Daniel, 2013 #10" w:history="1">
              <w:r w:rsidRPr="006772E1">
                <w:t>Daniel et al., 2013</w:t>
              </w:r>
            </w:hyperlink>
            <w:r w:rsidRPr="006772E1">
              <w:t>)</w:t>
            </w:r>
            <w:r w:rsidRPr="006772E1">
              <w:fldChar w:fldCharType="end"/>
            </w:r>
            <w:r w:rsidRPr="006772E1">
              <w:t>.</w:t>
            </w:r>
          </w:p>
        </w:tc>
        <w:tc>
          <w:tcPr>
            <w:tcW w:w="5477" w:type="dxa"/>
            <w:tcBorders>
              <w:bottom w:val="single" w:sz="4" w:space="0" w:color="auto"/>
            </w:tcBorders>
          </w:tcPr>
          <w:p w14:paraId="645037BB" w14:textId="77777777" w:rsidR="006772E1" w:rsidRPr="006772E1" w:rsidRDefault="006772E1" w:rsidP="006772E1">
            <w:pPr>
              <w:numPr>
                <w:ilvl w:val="0"/>
                <w:numId w:val="15"/>
              </w:numPr>
              <w:spacing w:beforeLines="60" w:before="144" w:afterLines="60" w:after="144"/>
              <w:jc w:val="left"/>
            </w:pPr>
            <w:r w:rsidRPr="006772E1">
              <w:t xml:space="preserve">Promising practices for delivery of these discussions and activities often draw on tailored and innovative methods </w:t>
            </w:r>
            <w:r w:rsidRPr="006772E1">
              <w:fldChar w:fldCharType="begin"/>
            </w:r>
            <w:r w:rsidRPr="006772E1">
              <w:instrText xml:space="preserve"> ADDIN EN.CITE &lt;EndNote&gt;&lt;Cite&gt;&lt;Author&gt;Robinson&lt;/Author&gt;&lt;Year&gt;2015&lt;/Year&gt;&lt;RecNum&gt;28&lt;/RecNum&gt;&lt;DisplayText&gt;(Robinson, 2015a)&lt;/DisplayText&gt;&lt;record&gt;&lt;rec-number&gt;28&lt;/rec-number&gt;&lt;foreign-keys&gt;&lt;key app="EN" db-id="e2pvpettoe5ddver2zlpspd00avfvwwf99z5"&gt;28&lt;/key&gt;&lt;/foreign-keys&gt;&lt;ref-type name="Report"&gt;27&lt;/ref-type&gt;&lt;contributors&gt;&lt;authors&gt;&lt;author&gt;Robinson, S.&lt;/author&gt;&lt;/authors&gt;&lt;/contributors&gt;&lt;titles&gt;&lt;title&gt;Feeling Safe, Being Safe: What is important to children and young people with disability and high support needs about safety in institutional settings? &lt;/title&gt;&lt;/titles&gt;&lt;dates&gt;&lt;year&gt;2015&lt;/year&gt;&lt;/dates&gt;&lt;pub-location&gt;Sydney&lt;/pub-location&gt;&lt;publisher&gt;Royal Commission into Institutional Responses to Child Sexual Abuse&lt;/publisher&gt;&lt;urls&gt;&lt;/urls&gt;&lt;/record&gt;&lt;/Cite&gt;&lt;/EndNote&gt;</w:instrText>
            </w:r>
            <w:r w:rsidRPr="006772E1">
              <w:fldChar w:fldCharType="separate"/>
            </w:r>
            <w:r w:rsidRPr="006772E1">
              <w:t>(</w:t>
            </w:r>
            <w:hyperlink w:anchor="_ENREF_50" w:tooltip="Robinson, 2015 #28" w:history="1">
              <w:r w:rsidRPr="006772E1">
                <w:t>Robinson, 2015a</w:t>
              </w:r>
            </w:hyperlink>
            <w:r w:rsidRPr="006772E1">
              <w:t>)</w:t>
            </w:r>
            <w:r w:rsidRPr="006772E1">
              <w:fldChar w:fldCharType="end"/>
            </w:r>
            <w:r w:rsidRPr="006772E1">
              <w:t xml:space="preserve">, such as role play, consideration of different scenarios and use of pictures </w:t>
            </w:r>
            <w:r w:rsidRPr="006772E1">
              <w:fldChar w:fldCharType="begin"/>
            </w:r>
            <w:r w:rsidRPr="006772E1">
              <w:instrText xml:space="preserve"> ADDIN EN.CITE &lt;EndNote&gt;&lt;Cite&gt;&lt;Author&gt;Daniel&lt;/Author&gt;&lt;Year&gt;2013&lt;/Year&gt;&lt;RecNum&gt;10&lt;/RecNum&gt;&lt;DisplayText&gt;(Daniel et al., 2013)&lt;/DisplayText&gt;&lt;record&gt;&lt;rec-number&gt;10&lt;/rec-number&gt;&lt;foreign-keys&gt;&lt;key app="EN" db-id="e2pvpettoe5ddver2zlpspd00avfvwwf99z5"&gt;10&lt;/key&gt;&lt;/foreign-keys&gt;&lt;ref-type name="Journal Article"&gt;17&lt;/ref-type&gt;&lt;contributors&gt;&lt;authors&gt;&lt;author&gt;Daniel, Brigid&lt;/author&gt;&lt;author&gt;Cross, Beth&lt;/author&gt;&lt;author&gt;Sherwood-Johnson, Fiona&lt;/author&gt;&lt;author&gt;Paton, Diana&lt;/author&gt;&lt;/authors&gt;&lt;/contributors&gt;&lt;titles&gt;&lt;title&gt;Risk and decision making in adult support and protection practice: User views from participant research&lt;/title&gt;&lt;secondary-title&gt;British Journal of Social Work&lt;/secondary-title&gt;&lt;/titles&gt;&lt;periodical&gt;&lt;full-title&gt;British Journal of Social Work&lt;/full-title&gt;&lt;/periodical&gt;&lt;pages&gt;bct032&lt;/pages&gt;&lt;dates&gt;&lt;year&gt;2013&lt;/year&gt;&lt;/dates&gt;&lt;isbn&gt;0045-3102&lt;/isbn&gt;&lt;urls&gt;&lt;/urls&gt;&lt;/record&gt;&lt;/Cite&gt;&lt;/EndNote&gt;</w:instrText>
            </w:r>
            <w:r w:rsidRPr="006772E1">
              <w:fldChar w:fldCharType="separate"/>
            </w:r>
            <w:r w:rsidRPr="006772E1">
              <w:t>(</w:t>
            </w:r>
            <w:hyperlink w:anchor="_ENREF_13" w:tooltip="Daniel, 2013 #10" w:history="1">
              <w:r w:rsidRPr="006772E1">
                <w:t>Daniel et al., 2013</w:t>
              </w:r>
            </w:hyperlink>
            <w:r w:rsidRPr="006772E1">
              <w:t>)</w:t>
            </w:r>
            <w:r w:rsidRPr="006772E1">
              <w:fldChar w:fldCharType="end"/>
            </w:r>
            <w:r w:rsidRPr="006772E1">
              <w:t>.</w:t>
            </w:r>
          </w:p>
        </w:tc>
        <w:tc>
          <w:tcPr>
            <w:tcW w:w="5438" w:type="dxa"/>
            <w:tcBorders>
              <w:bottom w:val="single" w:sz="4" w:space="0" w:color="auto"/>
            </w:tcBorders>
          </w:tcPr>
          <w:p w14:paraId="7476F9DD" w14:textId="77777777" w:rsidR="006772E1" w:rsidRPr="006772E1" w:rsidRDefault="006772E1" w:rsidP="00F26732">
            <w:pPr>
              <w:numPr>
                <w:ilvl w:val="0"/>
                <w:numId w:val="15"/>
              </w:numPr>
              <w:spacing w:before="60" w:after="60"/>
              <w:jc w:val="left"/>
            </w:pPr>
            <w:r w:rsidRPr="006772E1">
              <w:t xml:space="preserve">Group work: </w:t>
            </w:r>
          </w:p>
          <w:p w14:paraId="135C99EF" w14:textId="77777777" w:rsidR="006772E1" w:rsidRPr="006772E1" w:rsidRDefault="006772E1" w:rsidP="00F26732">
            <w:pPr>
              <w:pStyle w:val="ListBullet"/>
              <w:jc w:val="left"/>
            </w:pPr>
            <w:r w:rsidRPr="006772E1">
              <w:t>Discussion of a vignette scenario</w:t>
            </w:r>
          </w:p>
          <w:p w14:paraId="628A2908" w14:textId="77777777" w:rsidR="006772E1" w:rsidRPr="006772E1" w:rsidRDefault="006772E1" w:rsidP="00F26732">
            <w:pPr>
              <w:pStyle w:val="ListBullet"/>
              <w:jc w:val="left"/>
            </w:pPr>
            <w:r w:rsidRPr="006772E1">
              <w:t>Discussion of amusing pop culture examples</w:t>
            </w:r>
          </w:p>
          <w:p w14:paraId="6955157C" w14:textId="77777777" w:rsidR="006772E1" w:rsidRPr="006772E1" w:rsidRDefault="006772E1" w:rsidP="00F26732">
            <w:pPr>
              <w:pStyle w:val="ListBullet"/>
              <w:jc w:val="left"/>
            </w:pPr>
            <w:r w:rsidRPr="006772E1">
              <w:t>Modelling qualities admired in mentors</w:t>
            </w:r>
          </w:p>
          <w:p w14:paraId="00262060" w14:textId="77777777" w:rsidR="006772E1" w:rsidRPr="006772E1" w:rsidRDefault="006772E1" w:rsidP="00F26732">
            <w:pPr>
              <w:pStyle w:val="ListBullet"/>
              <w:jc w:val="left"/>
            </w:pPr>
            <w:r w:rsidRPr="006772E1">
              <w:t>Reflection activities</w:t>
            </w:r>
          </w:p>
          <w:p w14:paraId="51B4ACAF" w14:textId="77777777" w:rsidR="006772E1" w:rsidRPr="006772E1" w:rsidRDefault="006772E1" w:rsidP="00F26732">
            <w:pPr>
              <w:numPr>
                <w:ilvl w:val="0"/>
                <w:numId w:val="15"/>
              </w:numPr>
              <w:spacing w:before="60" w:after="60"/>
              <w:jc w:val="left"/>
            </w:pPr>
            <w:r w:rsidRPr="006772E1">
              <w:t xml:space="preserve">Individual work: </w:t>
            </w:r>
          </w:p>
          <w:p w14:paraId="1B519D0E" w14:textId="77777777" w:rsidR="006772E1" w:rsidRPr="006772E1" w:rsidRDefault="006772E1" w:rsidP="00F26732">
            <w:pPr>
              <w:pStyle w:val="ListBullet"/>
              <w:jc w:val="left"/>
            </w:pPr>
            <w:r w:rsidRPr="006772E1">
              <w:t>Diaries, photo/video journals, video storytelling</w:t>
            </w:r>
          </w:p>
          <w:p w14:paraId="2502DE08" w14:textId="77777777" w:rsidR="006772E1" w:rsidRPr="006772E1" w:rsidRDefault="006772E1" w:rsidP="00F26732">
            <w:pPr>
              <w:numPr>
                <w:ilvl w:val="0"/>
                <w:numId w:val="15"/>
              </w:numPr>
              <w:spacing w:before="60" w:after="60"/>
              <w:jc w:val="left"/>
            </w:pPr>
            <w:r w:rsidRPr="006772E1">
              <w:t xml:space="preserve">General strategies: </w:t>
            </w:r>
          </w:p>
          <w:p w14:paraId="7A0C985E" w14:textId="77777777" w:rsidR="006772E1" w:rsidRPr="006772E1" w:rsidRDefault="006772E1" w:rsidP="00F26732">
            <w:pPr>
              <w:pStyle w:val="ListBullet"/>
              <w:jc w:val="left"/>
            </w:pPr>
            <w:r w:rsidRPr="006772E1">
              <w:t>Education about decision-making processes</w:t>
            </w:r>
          </w:p>
          <w:p w14:paraId="503E4895" w14:textId="77777777" w:rsidR="006772E1" w:rsidRPr="006772E1" w:rsidRDefault="006772E1" w:rsidP="00F26732">
            <w:pPr>
              <w:pStyle w:val="ListBullet"/>
              <w:jc w:val="left"/>
            </w:pPr>
            <w:r w:rsidRPr="006772E1">
              <w:t>Identifying the steps in making a decision</w:t>
            </w:r>
          </w:p>
        </w:tc>
      </w:tr>
      <w:tr w:rsidR="006772E1" w14:paraId="248C869D" w14:textId="77777777" w:rsidTr="00534A20">
        <w:trPr>
          <w:cnfStyle w:val="000000100000" w:firstRow="0" w:lastRow="0" w:firstColumn="0" w:lastColumn="0" w:oddVBand="0" w:evenVBand="0" w:oddHBand="1" w:evenHBand="0" w:firstRowFirstColumn="0" w:firstRowLastColumn="0" w:lastRowFirstColumn="0" w:lastRowLastColumn="0"/>
        </w:trPr>
        <w:tc>
          <w:tcPr>
            <w:tcW w:w="3587" w:type="dxa"/>
            <w:tcBorders>
              <w:top w:val="single" w:sz="4" w:space="0" w:color="E37222" w:themeColor="accent1"/>
            </w:tcBorders>
          </w:tcPr>
          <w:p w14:paraId="629669B2" w14:textId="77777777" w:rsidR="006772E1" w:rsidRPr="006772E1" w:rsidRDefault="006772E1" w:rsidP="006772E1">
            <w:pPr>
              <w:numPr>
                <w:ilvl w:val="0"/>
                <w:numId w:val="15"/>
              </w:numPr>
              <w:spacing w:beforeLines="60" w:before="144" w:afterLines="60" w:after="144"/>
              <w:jc w:val="left"/>
            </w:pPr>
            <w:r w:rsidRPr="006772E1">
              <w:lastRenderedPageBreak/>
              <w:t xml:space="preserve">Having opportunities to </w:t>
            </w:r>
            <w:r w:rsidRPr="00F26732">
              <w:rPr>
                <w:b/>
              </w:rPr>
              <w:t>gain advice and/or support</w:t>
            </w:r>
            <w:r w:rsidRPr="006772E1">
              <w:t xml:space="preserve"> from a trusted person or trusted supporter </w:t>
            </w:r>
            <w:r w:rsidRPr="006772E1">
              <w:fldChar w:fldCharType="begin">
                <w:fldData xml:space="preserve">PEVuZE5vdGU+PENpdGU+PEF1dGhvcj5Ob3J0aHdheTwvQXV0aG9yPjxZZWFyPjIwMTM8L1llYXI+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</w:fldData>
              </w:fldChar>
            </w:r>
            <w:r w:rsidRPr="006772E1">
              <w:instrText xml:space="preserve"> ADDIN EN.CITE </w:instrText>
            </w:r>
            <w:r w:rsidRPr="006772E1">
              <w:fldChar w:fldCharType="begin">
                <w:fldData xml:space="preserve">PEVuZE5vdGU+PENpdGU+PEF1dGhvcj5Ob3J0aHdheTwvQXV0aG9yPjxZZWFyPjIwMTM8L1llYXI+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</w:fldData>
              </w:fldChar>
            </w:r>
            <w:r w:rsidRPr="006772E1">
              <w:instrText xml:space="preserve"> ADDIN EN.CITE.DATA </w:instrText>
            </w:r>
            <w:r w:rsidRPr="006772E1">
              <w:fldChar w:fldCharType="end"/>
            </w:r>
            <w:r w:rsidRPr="006772E1">
              <w:fldChar w:fldCharType="separate"/>
            </w:r>
            <w:r w:rsidRPr="006772E1">
              <w:t>(</w:t>
            </w:r>
            <w:hyperlink w:anchor="_ENREF_40" w:tooltip="Northway, 2013 #22" w:history="1">
              <w:r w:rsidRPr="006772E1">
                <w:t>Northway et al., 2013a</w:t>
              </w:r>
            </w:hyperlink>
            <w:r w:rsidRPr="006772E1">
              <w:t xml:space="preserve">, </w:t>
            </w:r>
            <w:hyperlink w:anchor="_ENREF_50" w:tooltip="Robinson, 2015 #28" w:history="1">
              <w:r w:rsidRPr="006772E1">
                <w:t>Robinson, 2015a</w:t>
              </w:r>
            </w:hyperlink>
            <w:r w:rsidRPr="006772E1">
              <w:t xml:space="preserve">, </w:t>
            </w:r>
            <w:hyperlink w:anchor="_ENREF_58" w:tooltip="Taylor, 2015 #29" w:history="1">
              <w:r w:rsidRPr="006772E1">
                <w:t>Taylor et al., 2015</w:t>
              </w:r>
            </w:hyperlink>
            <w:r w:rsidRPr="006772E1">
              <w:t>)</w:t>
            </w:r>
            <w:r w:rsidRPr="006772E1">
              <w:fldChar w:fldCharType="end"/>
            </w:r>
            <w:r w:rsidRPr="006772E1">
              <w:t>.</w:t>
            </w:r>
          </w:p>
        </w:tc>
        <w:tc>
          <w:tcPr>
            <w:tcW w:w="5477" w:type="dxa"/>
            <w:tcBorders>
              <w:top w:val="single" w:sz="4" w:space="0" w:color="E37222" w:themeColor="accent1"/>
            </w:tcBorders>
          </w:tcPr>
          <w:p w14:paraId="3F61C787" w14:textId="77777777" w:rsidR="006772E1" w:rsidRPr="006772E1" w:rsidRDefault="006772E1" w:rsidP="006772E1">
            <w:pPr>
              <w:numPr>
                <w:ilvl w:val="0"/>
                <w:numId w:val="15"/>
              </w:numPr>
              <w:spacing w:beforeLines="60" w:before="144" w:afterLines="60" w:after="144"/>
              <w:jc w:val="left"/>
            </w:pPr>
            <w:r w:rsidRPr="006772E1">
              <w:t xml:space="preserve">To be effective as a trusted person or supporter, a range of qualities are often necessary, including good interpersonal and communication skills </w:t>
            </w:r>
            <w:r w:rsidRPr="006772E1">
              <w:fldChar w:fldCharType="begin"/>
            </w:r>
            <w:r w:rsidRPr="006772E1">
              <w:instrText xml:space="preserve"> ADDIN EN.CITE &lt;EndNote&gt;&lt;Cite&gt;&lt;Author&gt;Dixon&lt;/Author&gt;&lt;Year&gt;2015&lt;/Year&gt;&lt;RecNum&gt;23&lt;/RecNum&gt;&lt;DisplayText&gt;(Dixon and Robb, 2015, Carr, 2011)&lt;/DisplayText&gt;&lt;record&gt;&lt;rec-number&gt;23&lt;/rec-number&gt;&lt;foreign-keys&gt;&lt;key app="EN" db-id="e2pvpettoe5ddver2zlpspd00avfvwwf99z5"&gt;23&lt;/key&gt;&lt;/foreign-keys&gt;&lt;ref-type name="Journal Article"&gt;17&lt;/ref-type&gt;&lt;contributors&gt;&lt;authors&gt;&lt;author&gt;Dixon, Jeremy&lt;/author&gt;&lt;author&gt;Robb, Megan&lt;/author&gt;&lt;/authors&gt;&lt;/contributors&gt;&lt;titles&gt;&lt;title&gt;Working with women with a learning disability experiencing domestic abuse: How social workers can negotiate competing definitions of risk&lt;/title&gt;&lt;secondary-title&gt;British Journal of Social Work&lt;/secondary-title&gt;&lt;/titles&gt;&lt;periodical&gt;&lt;full-title&gt;British Journal of Social Work&lt;/full-title&gt;&lt;/periodical&gt;&lt;pages&gt;bcu149&lt;/pages&gt;&lt;dates&gt;&lt;year&gt;2015&lt;/year&gt;&lt;/dates&gt;&lt;isbn&gt;0045-3102&lt;/isbn&gt;&lt;urls&gt;&lt;/urls&gt;&lt;/record&gt;&lt;/Cite&gt;&lt;Cite&gt;&lt;Author&gt;Carr&lt;/Author&gt;&lt;Year&gt;2011&lt;/Year&gt;&lt;RecNum&gt;18&lt;/RecNum&gt;&lt;record&gt;&lt;rec-number&gt;18&lt;/rec-number&gt;&lt;foreign-keys&gt;&lt;key app="EN" db-id="e2pvpettoe5ddver2zlpspd00avfvwwf99z5"&gt;18&lt;/key&gt;&lt;/foreign-keys&gt;&lt;ref-type name="Journal Article"&gt;17&lt;/ref-type&gt;&lt;contributors&gt;&lt;authors&gt;&lt;author&gt;Carr, Sarah&lt;/author&gt;&lt;/authors&gt;&lt;/contributors&gt;&lt;titles&gt;&lt;title&gt;Enabling risk and ensuring safety: self-directed support and personal budgets&lt;/title&gt;&lt;secondary-title&gt;The Journal of Adult Protection&lt;/secondary-title&gt;&lt;/titles&gt;&lt;periodical&gt;&lt;full-title&gt;The Journal of Adult Protection&lt;/full-title&gt;&lt;/periodical&gt;&lt;pages&gt;122-136&lt;/pages&gt;&lt;volume&gt;13&lt;/volume&gt;&lt;number&gt;3&lt;/number&gt;&lt;dates&gt;&lt;year&gt;2011&lt;/year&gt;&lt;/dates&gt;&lt;isbn&gt;1466-8203&lt;/isbn&gt;&lt;urls&gt;&lt;/urls&gt;&lt;/record&gt;&lt;/Cite&gt;&lt;/EndNote&gt;</w:instrText>
            </w:r>
            <w:r w:rsidRPr="006772E1">
              <w:fldChar w:fldCharType="separate"/>
            </w:r>
            <w:r w:rsidRPr="006772E1">
              <w:t>(</w:t>
            </w:r>
            <w:hyperlink w:anchor="_ENREF_15" w:tooltip="Dixon, 2015 #23" w:history="1">
              <w:r w:rsidRPr="006772E1">
                <w:t>Dixon and Robb, 2015</w:t>
              </w:r>
            </w:hyperlink>
            <w:r w:rsidRPr="006772E1">
              <w:t xml:space="preserve">, </w:t>
            </w:r>
            <w:hyperlink w:anchor="_ENREF_8" w:tooltip="Carr, 2011 #18" w:history="1">
              <w:r w:rsidRPr="006772E1">
                <w:t>Carr, 2011</w:t>
              </w:r>
            </w:hyperlink>
            <w:r w:rsidRPr="006772E1">
              <w:t>)</w:t>
            </w:r>
            <w:r w:rsidRPr="006772E1">
              <w:fldChar w:fldCharType="end"/>
            </w:r>
            <w:r w:rsidRPr="006772E1">
              <w:t xml:space="preserve">, a non-judgemental demeanour </w:t>
            </w:r>
            <w:r w:rsidRPr="006772E1">
              <w:fldChar w:fldCharType="begin"/>
            </w:r>
            <w:r w:rsidRPr="006772E1">
              <w:instrText xml:space="preserve"> ADDIN EN.CITE &lt;EndNote&gt;&lt;Cite&gt;&lt;Author&gt;Daniel&lt;/Author&gt;&lt;Year&gt;2013&lt;/Year&gt;&lt;RecNum&gt;10&lt;/RecNum&gt;&lt;DisplayText&gt;(Daniel et al., 2013)&lt;/DisplayText&gt;&lt;record&gt;&lt;rec-number&gt;10&lt;/rec-number&gt;&lt;foreign-keys&gt;&lt;key app="EN" db-id="e2pvpettoe5ddver2zlpspd00avfvwwf99z5"&gt;10&lt;/key&gt;&lt;/foreign-keys&gt;&lt;ref-type name="Journal Article"&gt;17&lt;/ref-type&gt;&lt;contributors&gt;&lt;authors&gt;&lt;author&gt;Daniel, Brigid&lt;/author&gt;&lt;author&gt;Cross, Beth&lt;/author&gt;&lt;author&gt;Sherwood-Johnson, Fiona&lt;/author&gt;&lt;author&gt;Paton, Diana&lt;/author&gt;&lt;/authors&gt;&lt;/contributors&gt;&lt;titles&gt;&lt;title&gt;Risk and decision making in adult support and protection practice: User views from participant research&lt;/title&gt;&lt;secondary-title&gt;British Journal of Social Work&lt;/secondary-title&gt;&lt;/titles&gt;&lt;periodical&gt;&lt;full-title&gt;British Journal of Social Work&lt;/full-title&gt;&lt;/periodical&gt;&lt;pages&gt;bct032&lt;/pages&gt;&lt;dates&gt;&lt;year&gt;2013&lt;/year&gt;&lt;/dates&gt;&lt;isbn&gt;0045-3102&lt;/isbn&gt;&lt;urls&gt;&lt;/urls&gt;&lt;/record&gt;&lt;/Cite&gt;&lt;/EndNote&gt;</w:instrText>
            </w:r>
            <w:r w:rsidRPr="006772E1">
              <w:fldChar w:fldCharType="separate"/>
            </w:r>
            <w:r w:rsidRPr="006772E1">
              <w:t>(</w:t>
            </w:r>
            <w:hyperlink w:anchor="_ENREF_13" w:tooltip="Daniel, 2013 #10" w:history="1">
              <w:r w:rsidRPr="006772E1">
                <w:t>Daniel et al., 2013</w:t>
              </w:r>
            </w:hyperlink>
            <w:r w:rsidRPr="006772E1">
              <w:t>)</w:t>
            </w:r>
            <w:r w:rsidRPr="006772E1">
              <w:fldChar w:fldCharType="end"/>
            </w:r>
            <w:r w:rsidRPr="006772E1">
              <w:t xml:space="preserve"> and enacting an effective balance between care and control </w:t>
            </w:r>
            <w:r w:rsidRPr="006772E1">
              <w:fldChar w:fldCharType="begin"/>
            </w:r>
            <w:r w:rsidRPr="006772E1">
              <w:instrText xml:space="preserve"> ADDIN EN.CITE &lt;EndNote&gt;&lt;Cite&gt;&lt;Author&gt;Stevens&lt;/Author&gt;&lt;Year&gt;2016&lt;/Year&gt;&lt;RecNum&gt;9&lt;/RecNum&gt;&lt;DisplayText&gt;(Stevens et al., 2016)&lt;/DisplayText&gt;&lt;record&gt;&lt;rec-number&gt;9&lt;/rec-number&gt;&lt;foreign-keys&gt;&lt;key app="EN" db-id="e2pvpettoe5ddver2zlpspd00avfvwwf99z5"&gt;9&lt;/key&gt;&lt;/foreign-keys&gt;&lt;ref-type name="Journal Article"&gt;17&lt;/ref-type&gt;&lt;contributors&gt;&lt;authors&gt;&lt;author&gt;Stevens, Martin&lt;/author&gt;&lt;author&gt;Woolham, John&lt;/author&gt;&lt;author&gt;Manthorpe, Jill&lt;/author&gt;&lt;author&gt;Aspinall, Fiona&lt;/author&gt;&lt;author&gt;Hussein, Shereen&lt;/author&gt;&lt;author&gt;Baxter, Kate&lt;/author&gt;&lt;author&gt;Samsi, Kritika&lt;/author&gt;&lt;author&gt;Ismail, Mohamed&lt;/author&gt;&lt;/authors&gt;&lt;/contributors&gt;&lt;titles&gt;&lt;title&gt;Implementing safeguarding and personalisation in social work: Findings from practice&lt;/title&gt;&lt;secondary-title&gt;Journal of Social Work&lt;/secondary-title&gt;&lt;/titles&gt;&lt;periodical&gt;&lt;full-title&gt;Journal of Social Work&lt;/full-title&gt;&lt;/periodical&gt;&lt;pages&gt;1468017316652001&lt;/pages&gt;&lt;dates&gt;&lt;year&gt;2016&lt;/year&gt;&lt;/dates&gt;&lt;isbn&gt;1468-0173&lt;/isbn&gt;&lt;urls&gt;&lt;/urls&gt;&lt;/record&gt;&lt;/Cite&gt;&lt;/EndNote&gt;</w:instrText>
            </w:r>
            <w:r w:rsidRPr="006772E1">
              <w:fldChar w:fldCharType="separate"/>
            </w:r>
            <w:r w:rsidRPr="006772E1">
              <w:t>(</w:t>
            </w:r>
            <w:hyperlink w:anchor="_ENREF_57" w:tooltip="Stevens, 2016 #9" w:history="1">
              <w:r w:rsidRPr="006772E1">
                <w:t>Stevens et al., 2016</w:t>
              </w:r>
            </w:hyperlink>
            <w:r w:rsidRPr="006772E1">
              <w:t>)</w:t>
            </w:r>
            <w:r w:rsidRPr="006772E1">
              <w:fldChar w:fldCharType="end"/>
            </w:r>
            <w:r w:rsidRPr="006772E1">
              <w:t xml:space="preserve">. In some cases, knowledge of complex communication needs may also be necessary </w:t>
            </w:r>
            <w:r w:rsidRPr="006772E1">
              <w:fldChar w:fldCharType="begin"/>
            </w:r>
            <w:r w:rsidRPr="006772E1">
              <w:instrText xml:space="preserve"> ADDIN EN.CITE &lt;EndNote&gt;&lt;Cite&gt;&lt;Author&gt;Taylor&lt;/Author&gt;&lt;Year&gt;2015&lt;/Year&gt;&lt;RecNum&gt;29&lt;/RecNum&gt;&lt;DisplayText&gt;(Taylor et al., 2015)&lt;/DisplayText&gt;&lt;record&gt;&lt;rec-number&gt;29&lt;/rec-number&gt;&lt;foreign-keys&gt;&lt;key app="EN" db-id="e2pvpettoe5ddver2zlpspd00avfvwwf99z5"&gt;29&lt;/key&gt;&lt;/foreign-keys&gt;&lt;ref-type name="Report"&gt;27&lt;/ref-type&gt;&lt;contributors&gt;&lt;authors&gt;&lt;author&gt;Taylor, J.&lt;/author&gt;&lt;author&gt;Cameron, A.&lt;/author&gt;&lt;author&gt;Jones, C.&lt;/author&gt;&lt;author&gt;Franklin, A.&lt;/author&gt;&lt;author&gt;Stalker, K. &lt;/author&gt;&lt;author&gt;Fry, D.&lt;/author&gt;&lt;/authors&gt;&lt;/contributors&gt;&lt;titles&gt;&lt;title&gt;Deaf and Disabled Children Talking About Child Protection&lt;/title&gt;&lt;/titles&gt;&lt;dates&gt;&lt;year&gt;2015&lt;/year&gt;&lt;/dates&gt;&lt;pub-location&gt;Edin&lt;/pub-location&gt;&lt;publisher&gt;University of Edinburgh/NSPCC Child Protection Research Centre&lt;/publisher&gt;&lt;urls&gt;&lt;/urls&gt;&lt;/record&gt;&lt;/Cite&gt;&lt;/EndNote&gt;</w:instrText>
            </w:r>
            <w:r w:rsidRPr="006772E1">
              <w:fldChar w:fldCharType="separate"/>
            </w:r>
            <w:r w:rsidRPr="006772E1">
              <w:t>(</w:t>
            </w:r>
            <w:hyperlink w:anchor="_ENREF_58" w:tooltip="Taylor, 2015 #29" w:history="1">
              <w:r w:rsidRPr="006772E1">
                <w:t>Taylor et al., 2015</w:t>
              </w:r>
            </w:hyperlink>
            <w:r w:rsidRPr="006772E1">
              <w:t>)</w:t>
            </w:r>
            <w:r w:rsidRPr="006772E1">
              <w:fldChar w:fldCharType="end"/>
            </w:r>
            <w:r w:rsidRPr="006772E1">
              <w:t xml:space="preserve">. In one study, peer educators who also had an intellectual disability played a role </w:t>
            </w:r>
            <w:r w:rsidRPr="006772E1">
              <w:fldChar w:fldCharType="begin"/>
            </w:r>
            <w:r w:rsidRPr="006772E1">
              <w:instrText xml:space="preserve"> ADDIN EN.CITE &lt;EndNote&gt;&lt;Cite&gt;&lt;Author&gt;Frawley&lt;/Author&gt;&lt;Year&gt;2014&lt;/Year&gt;&lt;RecNum&gt;38&lt;/RecNum&gt;&lt;DisplayText&gt;(Frawley and Bigby, 2014)&lt;/DisplayText&gt;&lt;record&gt;&lt;rec-number&gt;38&lt;/rec-number&gt;&lt;foreign-keys&gt;&lt;key app="EN" db-id="e2pvpettoe5ddver2zlpspd00avfvwwf99z5"&gt;38&lt;/key&gt;&lt;/foreign-keys&gt;&lt;ref-type name="Journal Article"&gt;17&lt;/ref-type&gt;&lt;contributors&gt;&lt;authors&gt;&lt;author&gt;Frawley, Patsie&lt;/author&gt;&lt;author&gt;Bigby, Christine&lt;/author&gt;&lt;/authors&gt;&lt;/contributors&gt;&lt;titles&gt;&lt;title&gt;“I&amp;apos;m in their shoes”: Experiences of peer educators in sexuality and relationship education&lt;/title&gt;&lt;secondary-title&gt;Journal of intellectual and developmental disability&lt;/secondary-title&gt;&lt;/titles&gt;&lt;periodical&gt;&lt;full-title&gt;Journal of Intellectual and Developmental Disability&lt;/full-title&gt;&lt;/periodical&gt;&lt;pages&gt;167-176&lt;/pages&gt;&lt;volume&gt;39&lt;/volume&gt;&lt;number&gt;2&lt;/number&gt;&lt;dates&gt;&lt;year&gt;2014&lt;/year&gt;&lt;/dates&gt;&lt;isbn&gt;1366-8250&lt;/isbn&gt;&lt;urls&gt;&lt;/urls&gt;&lt;/record&gt;&lt;/Cite&gt;&lt;/EndNote&gt;</w:instrText>
            </w:r>
            <w:r w:rsidRPr="006772E1">
              <w:fldChar w:fldCharType="separate"/>
            </w:r>
            <w:r w:rsidRPr="006772E1">
              <w:t>(</w:t>
            </w:r>
            <w:hyperlink w:anchor="_ENREF_17" w:tooltip="Frawley, 2014 #38" w:history="1">
              <w:r w:rsidRPr="006772E1">
                <w:t>Frawley and Bigby, 2014</w:t>
              </w:r>
            </w:hyperlink>
            <w:r w:rsidRPr="006772E1">
              <w:t>)</w:t>
            </w:r>
            <w:r w:rsidRPr="006772E1">
              <w:fldChar w:fldCharType="end"/>
            </w:r>
            <w:r w:rsidRPr="006772E1">
              <w:t>.</w:t>
            </w:r>
          </w:p>
        </w:tc>
        <w:tc>
          <w:tcPr>
            <w:tcW w:w="5438" w:type="dxa"/>
            <w:tcBorders>
              <w:top w:val="single" w:sz="4" w:space="0" w:color="E37222" w:themeColor="accent1"/>
            </w:tcBorders>
          </w:tcPr>
          <w:p w14:paraId="253060A2" w14:textId="77777777" w:rsidR="006772E1" w:rsidRPr="006772E1" w:rsidRDefault="006772E1" w:rsidP="006772E1">
            <w:pPr>
              <w:numPr>
                <w:ilvl w:val="0"/>
                <w:numId w:val="15"/>
              </w:numPr>
              <w:spacing w:beforeLines="60" w:before="144" w:afterLines="60" w:after="144"/>
              <w:jc w:val="left"/>
            </w:pPr>
            <w:r w:rsidRPr="006772E1">
              <w:t xml:space="preserve">Group work: </w:t>
            </w:r>
          </w:p>
          <w:p w14:paraId="4BF7F17B" w14:textId="77777777" w:rsidR="006772E1" w:rsidRPr="006772E1" w:rsidRDefault="006772E1" w:rsidP="00F26732">
            <w:pPr>
              <w:pStyle w:val="ListBullet"/>
              <w:jc w:val="left"/>
            </w:pPr>
            <w:r w:rsidRPr="006772E1">
              <w:t>Co-facilitation by peers</w:t>
            </w:r>
          </w:p>
          <w:p w14:paraId="01F7D23B" w14:textId="77777777" w:rsidR="006772E1" w:rsidRPr="006772E1" w:rsidRDefault="006772E1" w:rsidP="00F26732">
            <w:pPr>
              <w:pStyle w:val="ListBullet"/>
              <w:jc w:val="left"/>
            </w:pPr>
            <w:r w:rsidRPr="006772E1">
              <w:t>Personal stories from peers</w:t>
            </w:r>
          </w:p>
          <w:p w14:paraId="1B48CD0B" w14:textId="77777777" w:rsidR="006772E1" w:rsidRPr="006772E1" w:rsidRDefault="006772E1" w:rsidP="00F26732">
            <w:pPr>
              <w:pStyle w:val="ListBullet"/>
              <w:jc w:val="left"/>
            </w:pPr>
            <w:r w:rsidRPr="006772E1">
              <w:t>Peer-to-peer storytelling</w:t>
            </w:r>
          </w:p>
          <w:p w14:paraId="52EEEDE6" w14:textId="77777777" w:rsidR="006772E1" w:rsidRPr="006772E1" w:rsidRDefault="006772E1" w:rsidP="00F26732">
            <w:pPr>
              <w:pStyle w:val="ListBullet"/>
              <w:jc w:val="left"/>
            </w:pPr>
            <w:r w:rsidRPr="006772E1">
              <w:t xml:space="preserve">Active listening </w:t>
            </w:r>
          </w:p>
          <w:p w14:paraId="3329654D" w14:textId="77777777" w:rsidR="006772E1" w:rsidRPr="006772E1" w:rsidRDefault="006772E1" w:rsidP="006772E1">
            <w:pPr>
              <w:numPr>
                <w:ilvl w:val="0"/>
                <w:numId w:val="15"/>
              </w:numPr>
              <w:spacing w:beforeLines="60" w:before="144" w:afterLines="60" w:after="144"/>
              <w:jc w:val="left"/>
            </w:pPr>
            <w:r w:rsidRPr="006772E1">
              <w:t xml:space="preserve">General strategies: </w:t>
            </w:r>
          </w:p>
          <w:p w14:paraId="561FFF28" w14:textId="77777777" w:rsidR="006772E1" w:rsidRPr="006772E1" w:rsidRDefault="006772E1" w:rsidP="00F26732">
            <w:pPr>
              <w:pStyle w:val="ListBullet"/>
              <w:jc w:val="left"/>
            </w:pPr>
            <w:r w:rsidRPr="006772E1">
              <w:t xml:space="preserve">Reassurance </w:t>
            </w:r>
          </w:p>
        </w:tc>
      </w:tr>
      <w:tr w:rsidR="006772E1" w14:paraId="3F097D8D" w14:textId="77777777" w:rsidTr="007754E3">
        <w:trPr>
          <w:cnfStyle w:val="000000010000" w:firstRow="0" w:lastRow="0" w:firstColumn="0" w:lastColumn="0" w:oddVBand="0" w:evenVBand="0" w:oddHBand="0" w:evenHBand="1" w:firstRowFirstColumn="0" w:firstRowLastColumn="0" w:lastRowFirstColumn="0" w:lastRowLastColumn="0"/>
        </w:trPr>
        <w:tc>
          <w:tcPr>
            <w:tcW w:w="3587" w:type="dxa"/>
          </w:tcPr>
          <w:p w14:paraId="3E14E9C9" w14:textId="77777777" w:rsidR="006772E1" w:rsidRPr="006772E1" w:rsidRDefault="006772E1" w:rsidP="006772E1">
            <w:pPr>
              <w:numPr>
                <w:ilvl w:val="0"/>
                <w:numId w:val="15"/>
              </w:numPr>
              <w:spacing w:beforeLines="60" w:before="144" w:afterLines="60" w:after="144"/>
              <w:jc w:val="left"/>
            </w:pPr>
            <w:r w:rsidRPr="00F26732">
              <w:rPr>
                <w:b/>
              </w:rPr>
              <w:t>Practice at knowing how to talk with people</w:t>
            </w:r>
            <w:r w:rsidRPr="006772E1">
              <w:t xml:space="preserve"> to address problems </w:t>
            </w:r>
            <w:r w:rsidRPr="006772E1">
              <w:fldChar w:fldCharType="begin"/>
            </w:r>
            <w:r w:rsidRPr="006772E1">
              <w:instrText xml:space="preserve"> ADDIN EN.CITE &lt;EndNote&gt;&lt;Cite&gt;&lt;Author&gt;Daniel&lt;/Author&gt;&lt;Year&gt;2013&lt;/Year&gt;&lt;RecNum&gt;10&lt;/RecNum&gt;&lt;DisplayText&gt;(Daniel et al., 2013)&lt;/DisplayText&gt;&lt;record&gt;&lt;rec-number&gt;10&lt;/rec-number&gt;&lt;foreign-keys&gt;&lt;key app="EN" db-id="e2pvpettoe5ddver2zlpspd00avfvwwf99z5"&gt;10&lt;/key&gt;&lt;/foreign-keys&gt;&lt;ref-type name="Journal Article"&gt;17&lt;/ref-type&gt;&lt;contributors&gt;&lt;authors&gt;&lt;author&gt;Daniel, Brigid&lt;/author&gt;&lt;author&gt;Cross, Beth&lt;/author&gt;&lt;author&gt;Sherwood-Johnson, Fiona&lt;/author&gt;&lt;author&gt;Paton, Diana&lt;/author&gt;&lt;/authors&gt;&lt;/contributors&gt;&lt;titles&gt;&lt;title&gt;Risk and decision making in adult support and protection practice: User views from participant research&lt;/title&gt;&lt;secondary-title&gt;British Journal of Social Work&lt;/secondary-title&gt;&lt;/titles&gt;&lt;periodical&gt;&lt;full-title&gt;British Journal of Social Work&lt;/full-title&gt;&lt;/periodical&gt;&lt;pages&gt;bct032&lt;/pages&gt;&lt;dates&gt;&lt;year&gt;2013&lt;/year&gt;&lt;/dates&gt;&lt;isbn&gt;0045-3102&lt;/isbn&gt;&lt;urls&gt;&lt;/urls&gt;&lt;/record&gt;&lt;/Cite&gt;&lt;/EndNote&gt;</w:instrText>
            </w:r>
            <w:r w:rsidRPr="006772E1">
              <w:fldChar w:fldCharType="separate"/>
            </w:r>
            <w:r w:rsidRPr="006772E1">
              <w:t>(</w:t>
            </w:r>
            <w:hyperlink w:anchor="_ENREF_13" w:tooltip="Daniel, 2013 #10" w:history="1">
              <w:r w:rsidRPr="006772E1">
                <w:t>Daniel et al., 2013</w:t>
              </w:r>
            </w:hyperlink>
            <w:r w:rsidRPr="006772E1">
              <w:t>)</w:t>
            </w:r>
            <w:r w:rsidRPr="006772E1">
              <w:fldChar w:fldCharType="end"/>
            </w:r>
            <w:r w:rsidRPr="006772E1">
              <w:t xml:space="preserve"> and at </w:t>
            </w:r>
            <w:r w:rsidRPr="00F26732">
              <w:rPr>
                <w:b/>
              </w:rPr>
              <w:t>knowing how to ‘speak up’ more generally</w:t>
            </w:r>
            <w:r w:rsidRPr="006772E1">
              <w:t xml:space="preserve"> </w:t>
            </w:r>
            <w:r w:rsidRPr="006772E1">
              <w:fldChar w:fldCharType="begin"/>
            </w:r>
            <w:r w:rsidRPr="006772E1">
              <w:instrText xml:space="preserve"> ADDIN EN.CITE &lt;EndNote&gt;&lt;Cite&gt;&lt;Author&gt;Northway&lt;/Author&gt;&lt;Year&gt;2013&lt;/Year&gt;&lt;RecNum&gt;22&lt;/RecNum&gt;&lt;DisplayText&gt;(Northway et al., 2013a)&lt;/DisplayText&gt;&lt;record&gt;&lt;rec-number&gt;22&lt;/rec-number&gt;&lt;foreign-keys&gt;&lt;key app="EN" db-id="e2pvpettoe5ddver2zlpspd00avfvwwf99z5"&gt;22&lt;/key&gt;&lt;/foreign-keys&gt;&lt;ref-type name="Journal Article"&gt;17&lt;/ref-type&gt;&lt;contributors&gt;&lt;authors&gt;&lt;author&gt;Northway, Ruth&lt;/author&gt;&lt;author&gt;Bennett, Davey&lt;/author&gt;&lt;author&gt;Melsome, Mel&lt;/author&gt;&lt;author&gt;Flood, Samantha&lt;/author&gt;&lt;author&gt;Howarth, Joyce&lt;/author&gt;&lt;author&gt;Jones, Richard&lt;/author&gt;&lt;/authors&gt;&lt;/contributors&gt;&lt;titles&gt;&lt;title&gt;Keeping safe and providing support: a participatory survey about abuse and people with intellectual disabilities&lt;/title&gt;&lt;secondary-title&gt;Journal of Policy and Practice in Intellectual Disabilities&lt;/secondary-title&gt;&lt;/titles&gt;&lt;periodical&gt;&lt;full-title&gt;Journal of Policy and Practice in Intellectual Disabilities&lt;/full-title&gt;&lt;/periodical&gt;&lt;pages&gt;236-244&lt;/pages&gt;&lt;volume&gt;10&lt;/volume&gt;&lt;number&gt;3&lt;/number&gt;&lt;dates&gt;&lt;year&gt;2013&lt;/year&gt;&lt;/dates&gt;&lt;isbn&gt;1741-1130&lt;/isbn&gt;&lt;urls&gt;&lt;/urls&gt;&lt;/record&gt;&lt;/Cite&gt;&lt;/EndNote&gt;</w:instrText>
            </w:r>
            <w:r w:rsidRPr="006772E1">
              <w:fldChar w:fldCharType="separate"/>
            </w:r>
            <w:r w:rsidRPr="006772E1">
              <w:t>(</w:t>
            </w:r>
            <w:hyperlink w:anchor="_ENREF_40" w:tooltip="Northway, 2013 #22" w:history="1">
              <w:r w:rsidRPr="006772E1">
                <w:t>Northway et al., 2013a</w:t>
              </w:r>
            </w:hyperlink>
            <w:r w:rsidRPr="006772E1">
              <w:t>)</w:t>
            </w:r>
            <w:r w:rsidRPr="006772E1">
              <w:fldChar w:fldCharType="end"/>
            </w:r>
            <w:r w:rsidRPr="006772E1">
              <w:t>.</w:t>
            </w:r>
          </w:p>
        </w:tc>
        <w:tc>
          <w:tcPr>
            <w:tcW w:w="5477" w:type="dxa"/>
            <w:tcBorders>
              <w:bottom w:val="single" w:sz="4" w:space="0" w:color="E37222" w:themeColor="accent1"/>
            </w:tcBorders>
          </w:tcPr>
          <w:p w14:paraId="43599910" w14:textId="77777777" w:rsidR="006772E1" w:rsidRPr="006772E1" w:rsidRDefault="006772E1" w:rsidP="006772E1">
            <w:pPr>
              <w:numPr>
                <w:ilvl w:val="0"/>
                <w:numId w:val="15"/>
              </w:numPr>
              <w:spacing w:beforeLines="60" w:before="144" w:afterLines="60" w:after="144"/>
              <w:jc w:val="left"/>
            </w:pPr>
            <w:r w:rsidRPr="006772E1">
              <w:t xml:space="preserve">Role play may be a promising strategy for practising these kinds of interactions </w:t>
            </w:r>
            <w:r w:rsidRPr="006772E1">
              <w:fldChar w:fldCharType="begin"/>
            </w:r>
            <w:r w:rsidRPr="006772E1">
              <w:instrText xml:space="preserve"> ADDIN EN.CITE &lt;EndNote&gt;&lt;Cite&gt;&lt;Author&gt;Daniel&lt;/Author&gt;&lt;Year&gt;2013&lt;/Year&gt;&lt;RecNum&gt;10&lt;/RecNum&gt;&lt;DisplayText&gt;(Daniel et al., 2013)&lt;/DisplayText&gt;&lt;record&gt;&lt;rec-number&gt;10&lt;/rec-number&gt;&lt;foreign-keys&gt;&lt;key app="EN" db-id="e2pvpettoe5ddver2zlpspd00avfvwwf99z5"&gt;10&lt;/key&gt;&lt;/foreign-keys&gt;&lt;ref-type name="Journal Article"&gt;17&lt;/ref-type&gt;&lt;contributors&gt;&lt;authors&gt;&lt;author&gt;Daniel, Brigid&lt;/author&gt;&lt;author&gt;Cross, Beth&lt;/author&gt;&lt;author&gt;Sherwood-Johnson, Fiona&lt;/author&gt;&lt;author&gt;Paton, Diana&lt;/author&gt;&lt;/authors&gt;&lt;/contributors&gt;&lt;titles&gt;&lt;title&gt;Risk and decision making in adult support and protection practice: User views from participant research&lt;/title&gt;&lt;secondary-title&gt;British Journal of Social Work&lt;/secondary-title&gt;&lt;/titles&gt;&lt;periodical&gt;&lt;full-title&gt;British Journal of Social Work&lt;/full-title&gt;&lt;/periodical&gt;&lt;pages&gt;bct032&lt;/pages&gt;&lt;dates&gt;&lt;year&gt;2013&lt;/year&gt;&lt;/dates&gt;&lt;isbn&gt;0045-3102&lt;/isbn&gt;&lt;urls&gt;&lt;/urls&gt;&lt;/record&gt;&lt;/Cite&gt;&lt;/EndNote&gt;</w:instrText>
            </w:r>
            <w:r w:rsidRPr="006772E1">
              <w:fldChar w:fldCharType="separate"/>
            </w:r>
            <w:r w:rsidRPr="006772E1">
              <w:t>(</w:t>
            </w:r>
            <w:hyperlink w:anchor="_ENREF_13" w:tooltip="Daniel, 2013 #10" w:history="1">
              <w:r w:rsidRPr="006772E1">
                <w:t>Daniel et al., 2013</w:t>
              </w:r>
            </w:hyperlink>
            <w:r w:rsidRPr="006772E1">
              <w:t>)</w:t>
            </w:r>
            <w:r w:rsidRPr="006772E1">
              <w:fldChar w:fldCharType="end"/>
            </w:r>
            <w:r w:rsidRPr="006772E1">
              <w:t xml:space="preserve">. Practical examples of speaking up could also relate to specific areas, for example, knowing how to make a complaint or a person having a say in which service providers and staff work with them </w:t>
            </w:r>
            <w:r w:rsidRPr="006772E1">
              <w:fldChar w:fldCharType="begin"/>
            </w:r>
            <w:r w:rsidRPr="006772E1">
              <w:instrText xml:space="preserve"> ADDIN EN.CITE &lt;EndNote&gt;&lt;Cite&gt;&lt;Author&gt;Robinson&lt;/Author&gt;&lt;Year&gt;2014&lt;/Year&gt;&lt;RecNum&gt;50&lt;/RecNum&gt;&lt;DisplayText&gt;(Robinson, 2014)&lt;/DisplayText&gt;&lt;record&gt;&lt;rec-number&gt;50&lt;/rec-number&gt;&lt;foreign-keys&gt;&lt;key app="EN" db-id="e2pvpettoe5ddver2zlpspd00avfvwwf99z5"&gt;50&lt;/key&gt;&lt;/foreign-keys&gt;&lt;ref-type name="Journal Article"&gt;17&lt;/ref-type&gt;&lt;contributors&gt;&lt;authors&gt;&lt;author&gt;Robinson, Sally&lt;/author&gt;&lt;/authors&gt;&lt;/contributors&gt;&lt;titles&gt;&lt;title&gt;Safe at home? Factors influencing the safety strategies used by people with intellectual disability&lt;/title&gt;&lt;secondary-title&gt;Scandinavian Journal of Disability Research&lt;/secondary-title&gt;&lt;/titles&gt;&lt;periodical&gt;&lt;full-title&gt;Scandinavian Journal of Disability Research&lt;/full-title&gt;&lt;/periodical&gt;&lt;pages&gt;99-113&lt;/pages&gt;&lt;volume&gt;16&lt;/volume&gt;&lt;number&gt;2&lt;/number&gt;&lt;dates&gt;&lt;year&gt;2014&lt;/year&gt;&lt;/dates&gt;&lt;isbn&gt;1501-7419&lt;/isbn&gt;&lt;urls&gt;&lt;/urls&gt;&lt;/record&gt;&lt;/Cite&gt;&lt;/EndNote&gt;</w:instrText>
            </w:r>
            <w:r w:rsidRPr="006772E1">
              <w:fldChar w:fldCharType="separate"/>
            </w:r>
            <w:r w:rsidRPr="006772E1">
              <w:t>(</w:t>
            </w:r>
            <w:hyperlink w:anchor="_ENREF_49" w:tooltip="Robinson, 2014 #50" w:history="1">
              <w:r w:rsidRPr="006772E1">
                <w:t>Robinson, 2014</w:t>
              </w:r>
            </w:hyperlink>
            <w:r w:rsidRPr="006772E1">
              <w:t>)</w:t>
            </w:r>
            <w:r w:rsidRPr="006772E1">
              <w:fldChar w:fldCharType="end"/>
            </w:r>
          </w:p>
        </w:tc>
        <w:tc>
          <w:tcPr>
            <w:tcW w:w="5438" w:type="dxa"/>
          </w:tcPr>
          <w:p w14:paraId="5F51DADE" w14:textId="77777777" w:rsidR="006772E1" w:rsidRPr="006772E1" w:rsidRDefault="006772E1" w:rsidP="006772E1">
            <w:pPr>
              <w:numPr>
                <w:ilvl w:val="0"/>
                <w:numId w:val="15"/>
              </w:numPr>
              <w:spacing w:beforeLines="60" w:before="144" w:afterLines="60" w:after="144"/>
              <w:jc w:val="left"/>
            </w:pPr>
            <w:r w:rsidRPr="006772E1">
              <w:t xml:space="preserve">Group work: </w:t>
            </w:r>
          </w:p>
          <w:p w14:paraId="6246719B" w14:textId="77777777" w:rsidR="006772E1" w:rsidRPr="006772E1" w:rsidRDefault="006772E1" w:rsidP="00F26732">
            <w:pPr>
              <w:pStyle w:val="ListBullet"/>
              <w:jc w:val="left"/>
            </w:pPr>
            <w:r w:rsidRPr="006772E1">
              <w:t>Role play power relationships</w:t>
            </w:r>
          </w:p>
          <w:p w14:paraId="438123EC" w14:textId="77777777" w:rsidR="006772E1" w:rsidRPr="006772E1" w:rsidRDefault="006772E1" w:rsidP="00F26732">
            <w:pPr>
              <w:pStyle w:val="ListBullet"/>
              <w:jc w:val="left"/>
            </w:pPr>
            <w:r w:rsidRPr="006772E1">
              <w:t>Practising presenting/speaking in front of peers</w:t>
            </w:r>
          </w:p>
          <w:p w14:paraId="4C4BDBB1" w14:textId="77777777" w:rsidR="006772E1" w:rsidRPr="006772E1" w:rsidRDefault="006772E1" w:rsidP="00F26732">
            <w:pPr>
              <w:pStyle w:val="ListBullet"/>
              <w:jc w:val="left"/>
            </w:pPr>
            <w:r w:rsidRPr="006772E1">
              <w:t xml:space="preserve">Leadership opportunities </w:t>
            </w:r>
          </w:p>
          <w:p w14:paraId="1537EFAB" w14:textId="77777777" w:rsidR="006772E1" w:rsidRPr="006772E1" w:rsidRDefault="006772E1" w:rsidP="006772E1">
            <w:pPr>
              <w:numPr>
                <w:ilvl w:val="0"/>
                <w:numId w:val="15"/>
              </w:numPr>
              <w:spacing w:beforeLines="60" w:before="144" w:afterLines="60" w:after="144"/>
              <w:jc w:val="left"/>
            </w:pPr>
            <w:r w:rsidRPr="006772E1">
              <w:t xml:space="preserve">Individual work: </w:t>
            </w:r>
          </w:p>
          <w:p w14:paraId="1DF228D9" w14:textId="77777777" w:rsidR="006772E1" w:rsidRPr="006772E1" w:rsidRDefault="006772E1" w:rsidP="00F26732">
            <w:pPr>
              <w:pStyle w:val="ListBullet"/>
              <w:jc w:val="left"/>
            </w:pPr>
            <w:r w:rsidRPr="006772E1">
              <w:t>Leadership opportunities</w:t>
            </w:r>
          </w:p>
          <w:p w14:paraId="6E15C95F" w14:textId="77777777" w:rsidR="006772E1" w:rsidRPr="006772E1" w:rsidRDefault="006772E1" w:rsidP="00F26732">
            <w:pPr>
              <w:pStyle w:val="ListBullet"/>
              <w:jc w:val="left"/>
            </w:pPr>
            <w:r w:rsidRPr="006772E1">
              <w:t>Observation of behaviour</w:t>
            </w:r>
          </w:p>
          <w:p w14:paraId="54DB38B9" w14:textId="77777777" w:rsidR="006772E1" w:rsidRPr="006772E1" w:rsidRDefault="006772E1" w:rsidP="006772E1">
            <w:pPr>
              <w:numPr>
                <w:ilvl w:val="0"/>
                <w:numId w:val="15"/>
              </w:numPr>
              <w:spacing w:beforeLines="60" w:before="144" w:afterLines="60" w:after="144"/>
              <w:jc w:val="left"/>
            </w:pPr>
            <w:r w:rsidRPr="006772E1">
              <w:t xml:space="preserve">General strategies: </w:t>
            </w:r>
          </w:p>
          <w:p w14:paraId="791BEABE" w14:textId="77777777" w:rsidR="006772E1" w:rsidRPr="00F26732" w:rsidRDefault="006772E1" w:rsidP="00F26732">
            <w:pPr>
              <w:pStyle w:val="ListBullet"/>
              <w:jc w:val="left"/>
            </w:pPr>
            <w:r w:rsidRPr="006772E1">
              <w:t>Focusing on strengths, not deficits</w:t>
            </w:r>
          </w:p>
        </w:tc>
      </w:tr>
    </w:tbl>
    <w:p w14:paraId="6A224DE1" w14:textId="77777777" w:rsidR="006772E1" w:rsidRDefault="006772E1" w:rsidP="006772E1">
      <w:pPr>
        <w:numPr>
          <w:ilvl w:val="0"/>
          <w:numId w:val="15"/>
        </w:numPr>
        <w:sectPr w:rsidR="006772E1" w:rsidSect="006772E1">
          <w:pgSz w:w="16838" w:h="11906" w:orient="landscape" w:code="9"/>
          <w:pgMar w:top="1417" w:right="935" w:bottom="567" w:left="935" w:header="680" w:footer="272" w:gutter="0"/>
          <w:cols w:space="708"/>
          <w:docGrid w:linePitch="360"/>
        </w:sectPr>
      </w:pPr>
    </w:p>
    <w:p w14:paraId="4112B1C4" w14:textId="77777777" w:rsidR="00F26732" w:rsidRDefault="00F26732" w:rsidP="00F26732">
      <w:pPr>
        <w:numPr>
          <w:ilvl w:val="0"/>
          <w:numId w:val="15"/>
        </w:numPr>
      </w:pPr>
      <w:r>
        <w:lastRenderedPageBreak/>
        <w:t xml:space="preserve">In the academic literature, </w:t>
      </w:r>
      <w:r w:rsidRPr="00F26732">
        <w:t xml:space="preserve">programs or approaches for providing these types of support vary. Formal safety training and education programs are common </w:t>
      </w:r>
      <w:r w:rsidRPr="00F26732">
        <w:fldChar w:fldCharType="begin">
          <w:fldData xml:space="preserve">PEVuZE5vdGU+PENpdGU+PEF1dGhvcj5NYXp6dWNjaGVsbGk8L0F1dGhvcj48WWVhcj4yMDAxPC9Z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</w:fldData>
        </w:fldChar>
      </w:r>
      <w:r w:rsidRPr="00F26732">
        <w:instrText xml:space="preserve"> ADDIN EN.CITE </w:instrText>
      </w:r>
      <w:r w:rsidRPr="00F26732">
        <w:fldChar w:fldCharType="begin">
          <w:fldData xml:space="preserve">PEVuZE5vdGU+PENpdGU+PEF1dGhvcj5NYXp6dWNjaGVsbGk8L0F1dGhvcj48WWVhcj4yMDAxPC9Z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</w:fldData>
        </w:fldChar>
      </w:r>
      <w:r w:rsidRPr="00F26732">
        <w:instrText xml:space="preserve"> ADDIN EN.CITE.DATA </w:instrText>
      </w:r>
      <w:r w:rsidRPr="00F26732">
        <w:fldChar w:fldCharType="end"/>
      </w:r>
      <w:r w:rsidRPr="00F26732">
        <w:fldChar w:fldCharType="separate"/>
      </w:r>
      <w:r w:rsidRPr="00F26732">
        <w:t>(</w:t>
      </w:r>
      <w:hyperlink w:anchor="_ENREF_37" w:tooltip="Mazzucchelli, 2001 #4" w:history="1">
        <w:r w:rsidRPr="00F26732">
          <w:t>e.g. Mazzucchelli, 2001</w:t>
        </w:r>
      </w:hyperlink>
      <w:r w:rsidRPr="00F26732">
        <w:t xml:space="preserve">, </w:t>
      </w:r>
      <w:hyperlink w:anchor="_ENREF_28" w:tooltip="Khemka, 2005 #25" w:history="1">
        <w:r w:rsidRPr="00F26732">
          <w:t>Khemka et al., 2005</w:t>
        </w:r>
      </w:hyperlink>
      <w:r w:rsidRPr="00F26732">
        <w:t xml:space="preserve">, </w:t>
      </w:r>
      <w:hyperlink w:anchor="_ENREF_30" w:tooltip="Lund, 2014 #24" w:history="1">
        <w:r w:rsidRPr="00F26732">
          <w:t>Lund and Hammond, 2014</w:t>
        </w:r>
      </w:hyperlink>
      <w:r w:rsidRPr="00F26732">
        <w:t xml:space="preserve">, </w:t>
      </w:r>
      <w:hyperlink w:anchor="_ENREF_14" w:tooltip="Dixon, 2010 #1461" w:history="1">
        <w:r w:rsidRPr="00F26732">
          <w:t>and others as noted in Dixon et al., 2010</w:t>
        </w:r>
      </w:hyperlink>
      <w:r w:rsidRPr="00F26732">
        <w:t>)</w:t>
      </w:r>
      <w:r w:rsidRPr="00F26732">
        <w:fldChar w:fldCharType="end"/>
      </w:r>
      <w:r w:rsidRPr="00F26732">
        <w:t xml:space="preserve">, with such programs </w:t>
      </w:r>
      <w:r w:rsidDel="00561049">
        <w:t xml:space="preserve">designed to teach people with disability about </w:t>
      </w:r>
      <w:r>
        <w:t xml:space="preserve">specific </w:t>
      </w:r>
      <w:r w:rsidDel="00561049">
        <w:t>risk</w:t>
      </w:r>
      <w:r>
        <w:t>s where there is a large chance of harm. Many of the programs are specifically for people with intellectual disability. Such programs have identified</w:t>
      </w:r>
      <w:r w:rsidDel="00561049">
        <w:t xml:space="preserve"> that people with intellectual disability can learn about safeguarding </w:t>
      </w:r>
      <w:r>
        <w:t>principles</w:t>
      </w:r>
      <w:r w:rsidDel="00561049">
        <w:t xml:space="preserve"> and successfully apply what they have learnt to </w:t>
      </w:r>
      <w:r>
        <w:t>specific</w:t>
      </w:r>
      <w:r w:rsidDel="00561049">
        <w:t xml:space="preserve"> situations in their lives </w:t>
      </w:r>
      <w:r w:rsidDel="00561049">
        <w:fldChar w:fldCharType="begin"/>
      </w:r>
      <w:r>
        <w:instrText xml:space="preserve"> ADDIN EN.CITE &lt;EndNote&gt;&lt;Cite&gt;&lt;Author&gt;Mazzucchelli&lt;/Author&gt;&lt;Year&gt;2001&lt;/Year&gt;&lt;RecNum&gt;4&lt;/RecNum&gt;&lt;DisplayText&gt;(Mazzucchelli, 2001, Khemka et al., 2005)&lt;/DisplayText&gt;&lt;record&gt;&lt;rec-number&gt;4&lt;/rec-number&gt;&lt;foreign-keys&gt;&lt;key app="EN" db-id="drxr90zs72fdp8erdeppp2wiszseervweprv" timestamp="1487822735"&gt;4&lt;/key&gt;&lt;/foreign-keys&gt;&lt;ref-type name="Journal Article"&gt;17&lt;/ref-type&gt;&lt;contributors&gt;&lt;authors&gt;&lt;author&gt;Mazzucchelli, Trevor G&lt;/author&gt;&lt;/authors&gt;&lt;/contributors&gt;&lt;titles&gt;&lt;title&gt;Feel safe: A pilot study of a protective behaviours programme for people with intellectual disability&lt;/title&gt;&lt;secondary-title&gt;Journal of Intellectual and Developmental Disability&lt;/secondary-title&gt;&lt;/titles&gt;&lt;pages&gt;115-126&lt;/pages&gt;&lt;volume&gt;26&lt;/volume&gt;&lt;number&gt;2&lt;/number&gt;&lt;dates&gt;&lt;year&gt;2001&lt;/year&gt;&lt;/dates&gt;&lt;isbn&gt;1366-8250&lt;/isbn&gt;&lt;urls&gt;&lt;/urls&gt;&lt;/record&gt;&lt;/Cite&gt;&lt;Cite&gt;&lt;Author&gt;Khemka&lt;/Author&gt;&lt;Year&gt;2005&lt;/Year&gt;&lt;RecNum&gt;25&lt;/RecNum&gt;&lt;record&gt;&lt;rec-number&gt;25&lt;/rec-number&gt;&lt;foreign-keys&gt;&lt;key app="EN" db-id="e2pvpettoe5ddver2zlpspd00avfvwwf99z5"&gt;25&lt;/key&gt;&lt;/foreign-keys&gt;&lt;ref-type name="Journal Article"&gt;17&lt;/ref-type&gt;&lt;contributors&gt;&lt;authors&gt;&lt;author&gt;Khemka, Ishita&lt;/author&gt;&lt;author&gt;Hickson, Linda&lt;/author&gt;&lt;author&gt;Reynolds, Gillian&lt;/author&gt;&lt;author&gt;MacLean Jr, William E&lt;/author&gt;&lt;/authors&gt;&lt;/contributors&gt;&lt;titles&gt;&lt;title&gt;Evaluation of a decision-making curriculum designed to empower women with mental retardation to resist abuse&lt;/title&gt;&lt;secondary-title&gt;American Journal on Mental Retardation&lt;/secondary-title&gt;&lt;/titles&gt;&lt;periodical&gt;&lt;full-title&gt;American Journal on Mental Retardation&lt;/full-title&gt;&lt;/periodical&gt;&lt;pages&gt;193-204&lt;/pages&gt;&lt;volume&gt;110&lt;/volume&gt;&lt;number&gt;3&lt;/number&gt;&lt;dates&gt;&lt;year&gt;2005&lt;/year&gt;&lt;/dates&gt;&lt;isbn&gt;0895-8017&lt;/isbn&gt;&lt;urls&gt;&lt;/urls&gt;&lt;/record&gt;&lt;/Cite&gt;&lt;/EndNote&gt;</w:instrText>
      </w:r>
      <w:r w:rsidDel="00561049">
        <w:fldChar w:fldCharType="separate"/>
      </w:r>
      <w:r w:rsidRPr="00F26732">
        <w:t>(</w:t>
      </w:r>
      <w:hyperlink w:anchor="_ENREF_37" w:tooltip="Mazzucchelli, 2001 #4" w:history="1">
        <w:r w:rsidRPr="00F26732">
          <w:t>Mazzucchelli, 2001</w:t>
        </w:r>
      </w:hyperlink>
      <w:r w:rsidRPr="00F26732">
        <w:t xml:space="preserve">, </w:t>
      </w:r>
      <w:hyperlink w:anchor="_ENREF_28" w:tooltip="Khemka, 2005 #25" w:history="1">
        <w:r w:rsidRPr="00F26732">
          <w:t>Khemka et al., 2005</w:t>
        </w:r>
      </w:hyperlink>
      <w:r w:rsidRPr="00F26732">
        <w:t>)</w:t>
      </w:r>
      <w:r w:rsidDel="00561049">
        <w:fldChar w:fldCharType="end"/>
      </w:r>
      <w:r w:rsidDel="00561049">
        <w:t>.</w:t>
      </w:r>
      <w:r>
        <w:t xml:space="preserve"> However, critiques have also recognised that such programs may not empower people with intellectual disability </w:t>
      </w:r>
      <w:r>
        <w:fldChar w:fldCharType="begin"/>
      </w:r>
      <w:r>
        <w:instrText xml:space="preserve"> ADDIN EN.CITE &lt;EndNote&gt;&lt;Cite&gt;&lt;Author&gt;Mazzucchelli&lt;/Author&gt;&lt;Year&gt;2001&lt;/Year&gt;&lt;RecNum&gt;1460&lt;/RecNum&gt;&lt;DisplayText&gt;(Mazzucchelli, 2001)&lt;/DisplayText&gt;&lt;record&gt;&lt;rec-number&gt;1460&lt;/rec-number&gt;&lt;foreign-keys&gt;&lt;key app="EN" db-id="t59p229xk29s08e5pe15dt5xz2ewpervfzpz" timestamp="1487290711"&gt;1460&lt;/key&gt;&lt;/foreign-keys&gt;&lt;ref-type name="Journal Article"&gt;17&lt;/ref-type&gt;&lt;contributors&gt;&lt;authors&gt;&lt;author&gt;Mazzucchelli, Trevor G&lt;/author&gt;&lt;/authors&gt;&lt;/contributors&gt;&lt;titles&gt;&lt;title&gt;Feel safe: A pilot study of a protective behaviours programme for people with intellectual disability&lt;/title&gt;&lt;secondary-title&gt;Journal of Intellectual and Developmental Disability&lt;/secondary-title&gt;&lt;/titles&gt;&lt;periodical&gt;&lt;full-title&gt;Journal of Intellectual and Developmental Disability&lt;/full-title&gt;&lt;/periodical&gt;&lt;pages&gt;115-126&lt;/pages&gt;&lt;volume&gt;26&lt;/volume&gt;&lt;number&gt;2&lt;/number&gt;&lt;dates&gt;&lt;year&gt;2001&lt;/year&gt;&lt;/dates&gt;&lt;isbn&gt;1366-8250&lt;/isbn&gt;&lt;urls&gt;&lt;/urls&gt;&lt;/record&gt;&lt;/Cite&gt;&lt;/EndNote&gt;</w:instrText>
      </w:r>
      <w:r>
        <w:fldChar w:fldCharType="separate"/>
      </w:r>
      <w:r w:rsidRPr="00F26732">
        <w:t>(</w:t>
      </w:r>
      <w:hyperlink w:anchor="_ENREF_37" w:tooltip="Mazzucchelli, 2001 #4" w:history="1">
        <w:r w:rsidRPr="00F26732">
          <w:t>Mazzucchelli, 2001</w:t>
        </w:r>
      </w:hyperlink>
      <w:r w:rsidRPr="00F26732">
        <w:t>)</w:t>
      </w:r>
      <w:r>
        <w:fldChar w:fldCharType="end"/>
      </w:r>
      <w:r>
        <w:t xml:space="preserve">, as they may only teach them strategies for dealing with a limited range of specific high-risk situations, often centred on abuse, rather than developing their more general skills for recognising a range of risks that may be less readily identifiable and for promoting safety in their everyday life at home and in the community </w:t>
      </w:r>
      <w:r>
        <w:fldChar w:fldCharType="begin"/>
      </w:r>
      <w:r>
        <w:instrText xml:space="preserve"> ADDIN EN.CITE &lt;EndNote&gt;&lt;Cite&gt;&lt;Author&gt;Ottmann&lt;/Author&gt;&lt;Year&gt;2016&lt;/Year&gt;&lt;RecNum&gt;27&lt;/RecNum&gt;&lt;DisplayText&gt;(Ottmann et al., 2016, Schaafsma et al., 2015)&lt;/DisplayText&gt;&lt;record&gt;&lt;rec-number&gt;27&lt;/rec-number&gt;&lt;foreign-keys&gt;&lt;key app="EN" db-id="e2pvpettoe5ddver2zlpspd00avfvwwf99z5"&gt;27&lt;/key&gt;&lt;/foreign-keys&gt;&lt;ref-type name="Journal Article"&gt;17&lt;/ref-type&gt;&lt;contributors&gt;&lt;authors&gt;&lt;author&gt;Ottmann, Goetz&lt;/author&gt;&lt;author&gt;McVilly, Keith&lt;/author&gt;&lt;author&gt;Maragoudaki, Margarita&lt;/author&gt;&lt;/authors&gt;&lt;/contributors&gt;&lt;titles&gt;&lt;title&gt;‘I walk from trouble’: exploring safeguards with adults with intellectual disabilities–an Australian qualitative study&lt;/title&gt;&lt;secondary-title&gt;Disability &amp;amp; Society&lt;/secondary-title&gt;&lt;/titles&gt;&lt;periodical&gt;&lt;full-title&gt;Disability &amp;amp; Society&lt;/full-title&gt;&lt;/periodical&gt;&lt;pages&gt;47-63&lt;/pages&gt;&lt;volume&gt;31&lt;/volume&gt;&lt;number&gt;1&lt;/number&gt;&lt;dates&gt;&lt;year&gt;2016&lt;/year&gt;&lt;/dates&gt;&lt;isbn&gt;0968-7599&lt;/isbn&gt;&lt;urls&gt;&lt;/urls&gt;&lt;/record&gt;&lt;/Cite&gt;&lt;Cite&gt;&lt;Author&gt;Schaafsma&lt;/Author&gt;&lt;Year&gt;2015&lt;/Year&gt;&lt;RecNum&gt;47&lt;/RecNum&gt;&lt;record&gt;&lt;rec-number&gt;47&lt;/rec-number&gt;&lt;foreign-keys&gt;&lt;key app="EN" db-id="e2pvpettoe5ddver2zlpspd00avfvwwf99z5"&gt;47&lt;/key&gt;&lt;/foreign-keys&gt;&lt;ref-type name="Journal Article"&gt;17&lt;/ref-type&gt;&lt;contributors&gt;&lt;authors&gt;&lt;author&gt;Schaafsma, Dilana&lt;/author&gt;&lt;author&gt;Kok, Gerjo&lt;/author&gt;&lt;author&gt;Stoffelen, Joke MT&lt;/author&gt;&lt;author&gt;Curfs, Leopold MG&lt;/author&gt;&lt;/authors&gt;&lt;/contributors&gt;&lt;titles&gt;&lt;title&gt;Identifying effective methods for teaching sex education to individuals with intellectual disabilities: A systematic review&lt;/title&gt;&lt;secondary-title&gt;Journal of sex research&lt;/secondary-title&gt;&lt;/titles&gt;&lt;periodical&gt;&lt;full-title&gt;Journal of sex research&lt;/full-title&gt;&lt;/periodical&gt;&lt;pages&gt;412-432&lt;/pages&gt;&lt;volume&gt;52&lt;/volume&gt;&lt;number&gt;4&lt;/number&gt;&lt;dates&gt;&lt;year&gt;2015&lt;/year&gt;&lt;/dates&gt;&lt;isbn&gt;0022-4499&lt;/isbn&gt;&lt;urls&gt;&lt;/urls&gt;&lt;/record&gt;&lt;/Cite&gt;&lt;/EndNote&gt;</w:instrText>
      </w:r>
      <w:r>
        <w:fldChar w:fldCharType="separate"/>
      </w:r>
      <w:r w:rsidRPr="00F26732">
        <w:t>(</w:t>
      </w:r>
      <w:hyperlink w:anchor="_ENREF_44" w:tooltip="Ottmann, 2016 #27" w:history="1">
        <w:r w:rsidRPr="00F26732">
          <w:t>Ottmann et al., 2016</w:t>
        </w:r>
      </w:hyperlink>
      <w:r w:rsidRPr="00F26732">
        <w:t xml:space="preserve">, </w:t>
      </w:r>
      <w:hyperlink w:anchor="_ENREF_54" w:tooltip="Schaafsma, 2015 #47" w:history="1">
        <w:r w:rsidRPr="00F26732">
          <w:t>Schaafsma et al., 2015</w:t>
        </w:r>
      </w:hyperlink>
      <w:r w:rsidRPr="00F26732">
        <w:t>)</w:t>
      </w:r>
      <w:r>
        <w:fldChar w:fldCharType="end"/>
      </w:r>
      <w:r>
        <w:t xml:space="preserve">. For this latter area, capacity building for decision-making has been recognised as needed </w:t>
      </w:r>
      <w:r>
        <w:fldChar w:fldCharType="begin"/>
      </w:r>
      <w:r>
        <w:instrText xml:space="preserve"> ADDIN EN.CITE &lt;EndNote&gt;&lt;Cite&gt;&lt;Author&gt;Ottmann&lt;/Author&gt;&lt;Year&gt;2016&lt;/Year&gt;&lt;RecNum&gt;27&lt;/RecNum&gt;&lt;DisplayText&gt;(Ottmann et al., 2016)&lt;/DisplayText&gt;&lt;record&gt;&lt;rec-number&gt;27&lt;/rec-number&gt;&lt;foreign-keys&gt;&lt;key app="EN" db-id="e2pvpettoe5ddver2zlpspd00avfvwwf99z5"&gt;27&lt;/key&gt;&lt;/foreign-keys&gt;&lt;ref-type name="Journal Article"&gt;17&lt;/ref-type&gt;&lt;contributors&gt;&lt;authors&gt;&lt;author&gt;Ottmann, Goetz&lt;/author&gt;&lt;author&gt;McVilly, Keith&lt;/author&gt;&lt;author&gt;Maragoudaki, Margarita&lt;/author&gt;&lt;/authors&gt;&lt;/contributors&gt;&lt;titles&gt;&lt;title&gt;‘I walk from trouble’: exploring safeguards with adults with intellectual disabilities–an Australian qualitative study&lt;/title&gt;&lt;secondary-title&gt;Disability &amp;amp; Society&lt;/secondary-title&gt;&lt;/titles&gt;&lt;periodical&gt;&lt;full-title&gt;Disability &amp;amp; Society&lt;/full-title&gt;&lt;/periodical&gt;&lt;pages&gt;47-63&lt;/pages&gt;&lt;volume&gt;31&lt;/volume&gt;&lt;number&gt;1&lt;/number&gt;&lt;dates&gt;&lt;year&gt;2016&lt;/year&gt;&lt;/dates&gt;&lt;isbn&gt;0968-7599&lt;/isbn&gt;&lt;urls&gt;&lt;/urls&gt;&lt;/record&gt;&lt;/Cite&gt;&lt;/EndNote&gt;</w:instrText>
      </w:r>
      <w:r>
        <w:fldChar w:fldCharType="separate"/>
      </w:r>
      <w:r w:rsidRPr="00F26732">
        <w:t>(</w:t>
      </w:r>
      <w:hyperlink w:anchor="_ENREF_44" w:tooltip="Ottmann, 2016 #27" w:history="1">
        <w:r w:rsidRPr="00F26732">
          <w:t>Ottmann et al., 2016</w:t>
        </w:r>
      </w:hyperlink>
      <w:r w:rsidRPr="00F26732">
        <w:t>)</w:t>
      </w:r>
      <w:r>
        <w:fldChar w:fldCharType="end"/>
      </w:r>
      <w:r>
        <w:t>, but has more rarely been provided, although as evident from the practice evidence detailed in this paper, programs are currently developing in this area and may continue to do so. The practice evidence also suggests a need to focus on a comprehensive understanding of decision-making, including the activities preceding, during and after a decision.</w:t>
      </w:r>
    </w:p>
    <w:p w14:paraId="053A7DCE" w14:textId="77777777" w:rsidR="00F26732" w:rsidRPr="00F26732" w:rsidRDefault="00F26732" w:rsidP="00F26732">
      <w:pPr>
        <w:numPr>
          <w:ilvl w:val="0"/>
          <w:numId w:val="15"/>
        </w:numPr>
      </w:pPr>
      <w:r w:rsidRPr="00F26732">
        <w:t>Further, the practice evidence identifies the importance of allowing sufficient time and different types of opportunities for using the strategies highlighted above and for the development of self-determination for people to accomplish change that is proactive and meaningful to them. This requires sustaining supported decision-making projects over time. Some of the projects worked with project participants over extended periods, especially in projects that were able to secure extensions. Others focused on short group experiential learning to ‘start the ball rolling’ and then may have provided intermittent support over several months. Another project provided a series of regular group sessions to build on concepts, run exercises and establish intentionality, while another harnessed a mix of individual and group work to maintain enthusiasm and momentum and set up many opportunities for decision confidence and capabilities to develop. This took advantage of multiple real-life opportunities for both the participant and supporter to test, develop in and then work through decision steps towards an outcome over the course of a year.</w:t>
      </w:r>
    </w:p>
    <w:p w14:paraId="2FF8F3E5" w14:textId="77777777" w:rsidR="00F26732" w:rsidRPr="00F26732" w:rsidRDefault="00F26732" w:rsidP="00F26732">
      <w:pPr>
        <w:numPr>
          <w:ilvl w:val="0"/>
          <w:numId w:val="15"/>
        </w:numPr>
      </w:pPr>
      <w:r w:rsidRPr="00F26732">
        <w:t xml:space="preserve">Overall, considering the </w:t>
      </w:r>
      <w:r>
        <w:t xml:space="preserve">academic and practice literature together highlights that practical-oriented, accessible and personalised types of support that are sustained over an appropriate and often extended time period appear to be appreciated by people with disability and that there are a range of emerging promising practices for delivering these types of support. In particular, capacity building for decision-making appears to be a key area identified for further work and development. </w:t>
      </w:r>
    </w:p>
    <w:p w14:paraId="7CB16A89" w14:textId="77777777" w:rsidR="00F26732" w:rsidRPr="00F26732" w:rsidRDefault="00F26732" w:rsidP="00F26732">
      <w:pPr>
        <w:pStyle w:val="Heading2"/>
      </w:pPr>
      <w:bookmarkStart w:id="10" w:name="_Toc480381287"/>
      <w:r w:rsidRPr="00F26732">
        <w:t>Support to supporters and service providers</w:t>
      </w:r>
      <w:bookmarkEnd w:id="10"/>
    </w:p>
    <w:p w14:paraId="3D50FB83" w14:textId="77777777" w:rsidR="00F26732" w:rsidRPr="00F26732" w:rsidRDefault="00F26732" w:rsidP="00F26732">
      <w:pPr>
        <w:numPr>
          <w:ilvl w:val="0"/>
          <w:numId w:val="15"/>
        </w:numPr>
      </w:pPr>
      <w:r w:rsidRPr="00F26732">
        <w:t xml:space="preserve">Notably, beyond direct support strategies to people with disability, the academic literature and practice evidence also highlights what is required to develop the capacity of other people – such as supporters (including, but not limited to, family members) and service providers – to effectively provide support to people with disability for making decisions that promote personal safety and prevent harm. </w:t>
      </w:r>
    </w:p>
    <w:p w14:paraId="66CDA03D" w14:textId="77777777" w:rsidR="00F26732" w:rsidRPr="00F26732" w:rsidRDefault="00F26732" w:rsidP="00F26732">
      <w:pPr>
        <w:numPr>
          <w:ilvl w:val="0"/>
          <w:numId w:val="15"/>
        </w:numPr>
      </w:pPr>
      <w:r w:rsidRPr="00F26732">
        <w:lastRenderedPageBreak/>
        <w:t xml:space="preserve">For supporters, the practice evidence suggests the importance of reflection opportunities to ensure supporters are thinking thoroughly about supporting the person with disability to really make their own decisions. It also suggests that formalised decision-support roles can be useful in particularly complex or sensitive decision-making or safeguarding contexts. </w:t>
      </w:r>
    </w:p>
    <w:p w14:paraId="79892138" w14:textId="77777777" w:rsidR="00F26732" w:rsidRPr="00F26732" w:rsidRDefault="00F26732" w:rsidP="00F26732">
      <w:pPr>
        <w:numPr>
          <w:ilvl w:val="0"/>
          <w:numId w:val="15"/>
        </w:numPr>
      </w:pPr>
      <w:r w:rsidRPr="00F26732">
        <w:t xml:space="preserve">For service providers, key practices highlighted in the academic literature include shared training between staff involved in personalisation/self-direction and safeguarding </w:t>
      </w:r>
      <w:r w:rsidRPr="00F26732">
        <w:fldChar w:fldCharType="begin"/>
      </w:r>
      <w:r w:rsidRPr="00F26732">
        <w:instrText xml:space="preserve"> ADDIN EN.CITE &lt;EndNote&gt;&lt;Cite&gt;&lt;Author&gt;Campbell&lt;/Author&gt;&lt;Year&gt;2012&lt;/Year&gt;&lt;RecNum&gt;11&lt;/RecNum&gt;&lt;DisplayText&gt;(Campbell et al., 2012)&lt;/DisplayText&gt;&lt;record&gt;&lt;rec-number&gt;11&lt;/rec-number&gt;&lt;foreign-keys&gt;&lt;key app="EN" db-id="e2pvpettoe5ddver2zlpspd00avfvwwf99z5"&gt;11&lt;/key&gt;&lt;/foreign-keys&gt;&lt;ref-type name="Journal Article"&gt;17&lt;/ref-type&gt;&lt;contributors&gt;&lt;authors&gt;&lt;author&gt;Campbell, Martin&lt;/author&gt;&lt;author&gt;Hogg, James&lt;/author&gt;&lt;author&gt;Penhale, Bridget&lt;/author&gt;&lt;author&gt;Hunter, Susan&lt;/author&gt;&lt;author&gt;Manthorpe, Jill&lt;/author&gt;&lt;author&gt;Ridley, Julie&lt;/author&gt;&lt;author&gt;Cornes, Michelle&lt;/author&gt;&lt;author&gt;Rosengard, Ann&lt;/author&gt;&lt;/authors&gt;&lt;/contributors&gt;&lt;titles&gt;&lt;title&gt;When self-directed support meets adult support and protection: findings from the evaluation of the SDS test sites in Scotland&lt;/title&gt;&lt;secondary-title&gt;The Journal of Adult Protection&lt;/secondary-title&gt;&lt;/titles&gt;&lt;periodical&gt;&lt;full-title&gt;The Journal of Adult Protection&lt;/full-title&gt;&lt;/periodical&gt;&lt;pages&gt;206-215&lt;/pages&gt;&lt;volume&gt;14&lt;/volume&gt;&lt;number&gt;4&lt;/number&gt;&lt;dates&gt;&lt;year&gt;2012&lt;/year&gt;&lt;/dates&gt;&lt;isbn&gt;1466-8203&lt;/isbn&gt;&lt;urls&gt;&lt;/urls&gt;&lt;/record&gt;&lt;/Cite&gt;&lt;/EndNote&gt;</w:instrText>
      </w:r>
      <w:r w:rsidRPr="00F26732">
        <w:fldChar w:fldCharType="separate"/>
      </w:r>
      <w:r w:rsidRPr="00F26732">
        <w:t>(</w:t>
      </w:r>
      <w:hyperlink w:anchor="_ENREF_7" w:tooltip="Campbell, 2012 #11" w:history="1">
        <w:r w:rsidRPr="00F26732">
          <w:t>Campbell et al., 2012</w:t>
        </w:r>
      </w:hyperlink>
      <w:r w:rsidRPr="00F26732">
        <w:t>)</w:t>
      </w:r>
      <w:r w:rsidRPr="00F26732">
        <w:fldChar w:fldCharType="end"/>
      </w:r>
      <w:r w:rsidRPr="00F26732">
        <w:t xml:space="preserve"> and managing organisational culture, workforce development and client capacity building to best enable support </w:t>
      </w:r>
      <w:r w:rsidRPr="00F26732">
        <w:fldChar w:fldCharType="begin"/>
      </w:r>
      <w:r w:rsidRPr="00F26732">
        <w:instrText xml:space="preserve"> ADDIN EN.CITE &lt;EndNote&gt;&lt;Cite&gt;&lt;Author&gt;Ottmann&lt;/Author&gt;&lt;Year&gt;2015&lt;/Year&gt;&lt;RecNum&gt;6&lt;/RecNum&gt;&lt;DisplayText&gt;(Ottmann et al., 2015)&lt;/DisplayText&gt;&lt;record&gt;&lt;rec-number&gt;6&lt;/rec-number&gt;&lt;foreign-keys&gt;&lt;key app="EN" db-id="e2pvpettoe5ddver2zlpspd00avfvwwf99z5"&gt;6&lt;/key&gt;&lt;/foreign-keys&gt;&lt;ref-type name="Journal Article"&gt;17&lt;/ref-type&gt;&lt;contributors&gt;&lt;authors&gt;&lt;author&gt;Ottmann, Goetz&lt;/author&gt;&lt;author&gt;McVilly, Keith&lt;/author&gt;&lt;author&gt;Anderson, Julie&lt;/author&gt;&lt;author&gt;Chapman, Jessica&lt;/author&gt;&lt;author&gt;Karlyawasam, Imalka&lt;/author&gt;&lt;author&gt;Roy, Alana&lt;/author&gt;&lt;author&gt;Satari, Nahila&lt;/author&gt;&lt;author&gt;Stefano, Adam&lt;/author&gt;&lt;/authors&gt;&lt;/contributors&gt;&lt;titles&gt;&lt;title&gt;Barriers and Enablers to Safeguarding Children and Adults within a Disability Services Context: Insights from an Australian Delphi Study&lt;/title&gt;&lt;secondary-title&gt;Social Policy &amp;amp; Administration&lt;/secondary-title&gt;&lt;/titles&gt;&lt;periodical&gt;&lt;full-title&gt;Social Policy &amp;amp; Administration&lt;/full-title&gt;&lt;/periodical&gt;&lt;dates&gt;&lt;year&gt;2015&lt;/year&gt;&lt;/dates&gt;&lt;isbn&gt;1467-9515&lt;/isbn&gt;&lt;urls&gt;&lt;/urls&gt;&lt;/record&gt;&lt;/Cite&gt;&lt;/EndNote&gt;</w:instrText>
      </w:r>
      <w:r w:rsidRPr="00F26732">
        <w:fldChar w:fldCharType="separate"/>
      </w:r>
      <w:r w:rsidRPr="00F26732">
        <w:t>(</w:t>
      </w:r>
      <w:hyperlink w:anchor="_ENREF_43" w:tooltip="Ottmann, 2015 #6" w:history="1">
        <w:r w:rsidRPr="00F26732">
          <w:t>Ottmann et al., 2015</w:t>
        </w:r>
      </w:hyperlink>
      <w:r w:rsidRPr="00F26732">
        <w:t>)</w:t>
      </w:r>
      <w:r w:rsidRPr="00F26732">
        <w:fldChar w:fldCharType="end"/>
      </w:r>
      <w:r w:rsidRPr="00F26732">
        <w:t xml:space="preserve">. The practice evidence also suggests that ensuring that trained decision supporters are personal contacts (rather than paid staff) is key. Service providers providing support to make decisions to promote personal safety and prevent harm also links to a more general need for service agencies to focus on prevention and protection, rather than only reactively responding to individual instances of abuse or maltreatment </w:t>
      </w:r>
      <w:r w:rsidRPr="00F26732">
        <w:fldChar w:fldCharType="begin"/>
      </w:r>
      <w:r w:rsidRPr="00F26732">
        <w:instrText xml:space="preserve"> ADDIN EN.CITE &lt;EndNote&gt;&lt;Cite&gt;&lt;Author&gt;Robinson&lt;/Author&gt;&lt;Year&gt;2011&lt;/Year&gt;&lt;RecNum&gt;49&lt;/RecNum&gt;&lt;DisplayText&gt;(Robinson and Chenoweth, 2011)&lt;/DisplayText&gt;&lt;record&gt;&lt;rec-number&gt;49&lt;/rec-number&gt;&lt;foreign-keys&gt;&lt;key app="EN" db-id="e2pvpettoe5ddver2zlpspd00avfvwwf99z5"&gt;49&lt;/key&gt;&lt;/foreign-keys&gt;&lt;ref-type name="Journal Article"&gt;17&lt;/ref-type&gt;&lt;contributors&gt;&lt;authors&gt;&lt;author&gt;Robinson, Sally&lt;/author&gt;&lt;author&gt;Chenoweth, Lesley&lt;/author&gt;&lt;/authors&gt;&lt;/contributors&gt;&lt;titles&gt;&lt;title&gt;Preventing abuse in accommodation services: From procedural response to protective cultures&lt;/title&gt;&lt;secondary-title&gt;Journal of Intellectual Disabilities&lt;/secondary-title&gt;&lt;/titles&gt;&lt;periodical&gt;&lt;full-title&gt;Journal of Intellectual Disabilities&lt;/full-title&gt;&lt;/periodical&gt;&lt;pages&gt;63-74&lt;/pages&gt;&lt;volume&gt;15&lt;/volume&gt;&lt;number&gt;1&lt;/number&gt;&lt;dates&gt;&lt;year&gt;2011&lt;/year&gt;&lt;/dates&gt;&lt;isbn&gt;1744-6295&lt;/isbn&gt;&lt;urls&gt;&lt;/urls&gt;&lt;/record&gt;&lt;/Cite&gt;&lt;/EndNote&gt;</w:instrText>
      </w:r>
      <w:r w:rsidRPr="00F26732">
        <w:fldChar w:fldCharType="separate"/>
      </w:r>
      <w:r w:rsidRPr="00F26732">
        <w:t>(</w:t>
      </w:r>
      <w:hyperlink w:anchor="_ENREF_52" w:tooltip="Robinson, 2011 #49" w:history="1">
        <w:r w:rsidRPr="00F26732">
          <w:t>Robinson and Chenoweth, 2011</w:t>
        </w:r>
      </w:hyperlink>
      <w:r w:rsidRPr="00F26732">
        <w:t>)</w:t>
      </w:r>
      <w:r w:rsidRPr="00F26732">
        <w:fldChar w:fldCharType="end"/>
      </w:r>
      <w:r w:rsidRPr="00F26732">
        <w:t>.</w:t>
      </w:r>
    </w:p>
    <w:p w14:paraId="1CCC521D" w14:textId="77777777" w:rsidR="00F26732" w:rsidRPr="00F26732" w:rsidRDefault="00F26732" w:rsidP="00F26732">
      <w:pPr>
        <w:numPr>
          <w:ilvl w:val="0"/>
          <w:numId w:val="15"/>
        </w:numPr>
      </w:pPr>
      <w:r w:rsidRPr="00F26732">
        <w:t xml:space="preserve">Further, in the practice review, a mix of individualised work with people with disability and engagement with project workers, service staff and families on decision and decision support development was seen as productive. Boosting this mix with group learning showed added benefits, including addressing new concepts in a supportive peer environment; being exposed to a variety of views and practices; and experiencing activities that can prepare both people with disability and their supporters for applying ideas in their private and community lives. It also increases the understanding and confidence of facilitators rapidly, especially if a collaborative learning approach is taken. There has also been success in bringing people with disability, their families and other supporters together for skilfully facilitated experiences with each other that ‘tweak’ or ‘nudge’ existing roles and open the door to growth. </w:t>
      </w:r>
    </w:p>
    <w:p w14:paraId="6576E43F" w14:textId="77777777" w:rsidR="00F26732" w:rsidRPr="00F26732" w:rsidRDefault="00F26732" w:rsidP="00F26732">
      <w:pPr>
        <w:numPr>
          <w:ilvl w:val="0"/>
          <w:numId w:val="15"/>
        </w:numPr>
      </w:pPr>
      <w:r w:rsidRPr="00F26732">
        <w:t xml:space="preserve">Together, these literature and practice insights highlight the importance of providing support to and expecting capacity building from not only people with disability, but also the people around them. In the current policy context in Australia, this could extend to family members, NDIS planners, supported decision-making staff and a range of other service providers and informal supports. </w:t>
      </w:r>
    </w:p>
    <w:p w14:paraId="1D1F2A31" w14:textId="77777777" w:rsidR="00F26732" w:rsidRPr="00F26732" w:rsidRDefault="00F26732" w:rsidP="00F26732">
      <w:pPr>
        <w:numPr>
          <w:ilvl w:val="0"/>
          <w:numId w:val="15"/>
        </w:numPr>
      </w:pPr>
      <w:r w:rsidRPr="00F26732">
        <w:br w:type="page"/>
      </w:r>
    </w:p>
    <w:p w14:paraId="4FA26374" w14:textId="77777777" w:rsidR="00F26732" w:rsidRPr="00F26732" w:rsidRDefault="00F26732" w:rsidP="00F26732">
      <w:pPr>
        <w:pStyle w:val="Heading1"/>
      </w:pPr>
      <w:bookmarkStart w:id="11" w:name="_Toc478552500"/>
      <w:bookmarkStart w:id="12" w:name="_Toc480381288"/>
      <w:r w:rsidRPr="00F26732">
        <w:lastRenderedPageBreak/>
        <w:t>Sources of support</w:t>
      </w:r>
      <w:bookmarkEnd w:id="11"/>
      <w:bookmarkEnd w:id="12"/>
    </w:p>
    <w:p w14:paraId="23CE4830" w14:textId="77777777" w:rsidR="00F26732" w:rsidRDefault="00F26732" w:rsidP="00F26732">
      <w:pPr>
        <w:numPr>
          <w:ilvl w:val="0"/>
          <w:numId w:val="15"/>
        </w:numPr>
      </w:pPr>
      <w:r w:rsidRPr="00F26732">
        <w:t xml:space="preserve">While not focusing directly on who people with disability seek support from for making decisions that promote personal safety and prevent harm, the academic literature does provide some insight into this area. As noted earlier, trusted supporters appear to be a very common source of support – the most common source highlighted in the literature – with many people seeking support from family, friends and trusted support workers </w:t>
      </w:r>
      <w:r w:rsidRPr="00DE090A">
        <w:fldChar w:fldCharType="begin">
          <w:fldData xml:space="preserve">PEVuZE5vdGU+PENpdGU+PEF1dGhvcj5Ob3J0aHdheTwvQXV0aG9yPjxZZWFyPjIwMTM8L1llYXI+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</w:fldData>
        </w:fldChar>
      </w:r>
      <w:r>
        <w:instrText xml:space="preserve"> ADDIN EN.CITE </w:instrText>
      </w:r>
      <w:r>
        <w:fldChar w:fldCharType="begin">
          <w:fldData xml:space="preserve">PEVuZE5vdGU+PENpdGU+PEF1dGhvcj5Ob3J0aHdheTwvQXV0aG9yPjxZZWFyPjIwMTM8L1llYXI+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</w:fldData>
        </w:fldChar>
      </w:r>
      <w:r>
        <w:instrText xml:space="preserve"> ADDIN EN.CITE.DATA </w:instrText>
      </w:r>
      <w:r>
        <w:fldChar w:fldCharType="end"/>
      </w:r>
      <w:r w:rsidRPr="00DE090A">
        <w:fldChar w:fldCharType="separate"/>
      </w:r>
      <w:r w:rsidRPr="00F26732">
        <w:t>(</w:t>
      </w:r>
      <w:hyperlink w:anchor="_ENREF_40" w:tooltip="Northway, 2013 #22" w:history="1">
        <w:r w:rsidRPr="00F26732">
          <w:t>Northway et al., 2013a</w:t>
        </w:r>
      </w:hyperlink>
      <w:r w:rsidRPr="00F26732">
        <w:t xml:space="preserve">, </w:t>
      </w:r>
      <w:hyperlink w:anchor="_ENREF_50" w:tooltip="Robinson, 2015 #28" w:history="1">
        <w:r w:rsidRPr="00F26732">
          <w:t>Robinson, 2015a</w:t>
        </w:r>
      </w:hyperlink>
      <w:r w:rsidRPr="00F26732">
        <w:t xml:space="preserve">, </w:t>
      </w:r>
      <w:hyperlink w:anchor="_ENREF_24" w:tooltip="Hollomotz, 2012 #30" w:history="1">
        <w:r w:rsidRPr="00F26732">
          <w:t>Hollomotz, 2012</w:t>
        </w:r>
      </w:hyperlink>
      <w:r w:rsidRPr="00F26732">
        <w:t>)</w:t>
      </w:r>
      <w:r w:rsidRPr="00DE090A">
        <w:fldChar w:fldCharType="end"/>
      </w:r>
      <w:r w:rsidRPr="00F26732">
        <w:t xml:space="preserve">. The key role of this kind of relational support also creates challenges where breakdowns in the trusted relationships from which people may be seeking decision-making support can also be a significant source of risk and harm, particularly for people with intellectual disability </w:t>
      </w:r>
      <w:r>
        <w:fldChar w:fldCharType="begin">
          <w:fldData xml:space="preserve">PEVuZE5vdGU+PENpdGU+PEF1dGhvcj5EYW5pZWw8L0F1dGhvcj48WWVhcj4yMDEzPC9ZZWFyPjxS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</w:fldData>
        </w:fldChar>
      </w:r>
      <w:r>
        <w:instrText xml:space="preserve"> ADDIN EN.CITE </w:instrText>
      </w:r>
      <w:r>
        <w:fldChar w:fldCharType="begin">
          <w:fldData xml:space="preserve">PEVuZE5vdGU+PENpdGU+PEF1dGhvcj5EYW5pZWw8L0F1dGhvcj48WWVhcj4yMDEzPC9ZZWFyPjxS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</w:fldData>
        </w:fldChar>
      </w:r>
      <w:r>
        <w:instrText xml:space="preserve"> ADDIN EN.CITE.DATA </w:instrText>
      </w:r>
      <w:r>
        <w:fldChar w:fldCharType="end"/>
      </w:r>
      <w:r>
        <w:fldChar w:fldCharType="separate"/>
      </w:r>
      <w:r w:rsidRPr="00F26732">
        <w:t>(</w:t>
      </w:r>
      <w:hyperlink w:anchor="_ENREF_13" w:tooltip="Daniel, 2013 #10" w:history="1">
        <w:r w:rsidRPr="00F26732">
          <w:t>Daniel et al., 2013</w:t>
        </w:r>
      </w:hyperlink>
      <w:r w:rsidRPr="00F26732">
        <w:t xml:space="preserve">, </w:t>
      </w:r>
      <w:hyperlink w:anchor="_ENREF_50" w:tooltip="Robinson, 2015 #28" w:history="1">
        <w:r w:rsidRPr="00F26732">
          <w:t>Robinson, 2015a</w:t>
        </w:r>
      </w:hyperlink>
      <w:r w:rsidRPr="00F26732">
        <w:t xml:space="preserve">, </w:t>
      </w:r>
      <w:hyperlink w:anchor="_ENREF_1" w:tooltip="Arstein-Kerslake, 2016 #3" w:history="1">
        <w:r w:rsidRPr="00F26732">
          <w:t>Arstein-Kerslake, 2016</w:t>
        </w:r>
      </w:hyperlink>
      <w:r w:rsidRPr="00F26732">
        <w:t>)</w:t>
      </w:r>
      <w:r>
        <w:fldChar w:fldCharType="end"/>
      </w:r>
      <w:r>
        <w:t xml:space="preserve">. </w:t>
      </w:r>
    </w:p>
    <w:p w14:paraId="3BB41442" w14:textId="77777777" w:rsidR="00F26732" w:rsidRPr="00F26732" w:rsidRDefault="00F26732" w:rsidP="00F26732">
      <w:pPr>
        <w:numPr>
          <w:ilvl w:val="0"/>
          <w:numId w:val="15"/>
        </w:numPr>
      </w:pPr>
      <w:r>
        <w:t>Despite the key role of trusted supporters as sources of support, past</w:t>
      </w:r>
      <w:r w:rsidRPr="00F26732">
        <w:t xml:space="preserve"> studies have highlighted that people with disability, including intellectual disability, prefer to be supported by such people to develop their own strategies to deal with potential risks, rather than having these people actually deal with issues for them or on their behalf </w:t>
      </w:r>
      <w:r w:rsidRPr="00F26732">
        <w:fldChar w:fldCharType="begin"/>
      </w:r>
      <w:r w:rsidRPr="00F26732">
        <w:instrText xml:space="preserve"> ADDIN EN.CITE &lt;EndNote&gt;&lt;Cite&gt;&lt;Author&gt;Daniel&lt;/Author&gt;&lt;Year&gt;2013&lt;/Year&gt;&lt;RecNum&gt;10&lt;/RecNum&gt;&lt;DisplayText&gt;(Daniel et al., 2013, Northway et al., 2013a)&lt;/DisplayText&gt;&lt;record&gt;&lt;rec-number&gt;10&lt;/rec-number&gt;&lt;foreign-keys&gt;&lt;key app="EN" db-id="e2pvpettoe5ddver2zlpspd00avfvwwf99z5"&gt;10&lt;/key&gt;&lt;/foreign-keys&gt;&lt;ref-type name="Journal Article"&gt;17&lt;/ref-type&gt;&lt;contributors&gt;&lt;authors&gt;&lt;author&gt;Daniel, Brigid&lt;/author&gt;&lt;author&gt;Cross, Beth&lt;/author&gt;&lt;author&gt;Sherwood-Johnson, Fiona&lt;/author&gt;&lt;author&gt;Paton, Diana&lt;/author&gt;&lt;/authors&gt;&lt;/contributors&gt;&lt;titles&gt;&lt;title&gt;Risk and decision making in adult support and protection practice: User views from participant research&lt;/title&gt;&lt;secondary-title&gt;British Journal of Social Work&lt;/secondary-title&gt;&lt;/titles&gt;&lt;periodical&gt;&lt;full-title&gt;British Journal of Social Work&lt;/full-title&gt;&lt;/periodical&gt;&lt;pages&gt;bct032&lt;/pages&gt;&lt;dates&gt;&lt;year&gt;2013&lt;/year&gt;&lt;/dates&gt;&lt;isbn&gt;0045-3102&lt;/isbn&gt;&lt;urls&gt;&lt;/urls&gt;&lt;/record&gt;&lt;/Cite&gt;&lt;Cite&gt;&lt;Author&gt;Northway&lt;/Author&gt;&lt;Year&gt;2013&lt;/Year&gt;&lt;RecNum&gt;22&lt;/RecNum&gt;&lt;record&gt;&lt;rec-number&gt;22&lt;/rec-number&gt;&lt;foreign-keys&gt;&lt;key app="EN" db-id="e2pvpettoe5ddver2zlpspd00avfvwwf99z5"&gt;22&lt;/key&gt;&lt;/foreign-keys&gt;&lt;ref-type name="Journal Article"&gt;17&lt;/ref-type&gt;&lt;contributors&gt;&lt;authors&gt;&lt;author&gt;Northway, Ruth&lt;/author&gt;&lt;author&gt;Bennett, Davey&lt;/author&gt;&lt;author&gt;Melsome, Mel&lt;/author&gt;&lt;author&gt;Flood, Samantha&lt;/author&gt;&lt;author&gt;Howarth, Joyce&lt;/author&gt;&lt;author&gt;Jones, Richard&lt;/author&gt;&lt;/authors&gt;&lt;/contributors&gt;&lt;titles&gt;&lt;title&gt;Keeping safe and providing support: a participatory survey about abuse and people with intellectual disabilities&lt;/title&gt;&lt;secondary-title&gt;Journal of Policy and Practice in Intellectual Disabilities&lt;/secondary-title&gt;&lt;/titles&gt;&lt;periodical&gt;&lt;full-title&gt;Journal of Policy and Practice in Intellectual Disabilities&lt;/full-title&gt;&lt;/periodical&gt;&lt;pages&gt;236-244&lt;/pages&gt;&lt;volume&gt;10&lt;/volume&gt;&lt;number&gt;3&lt;/number&gt;&lt;dates&gt;&lt;year&gt;2013&lt;/year&gt;&lt;/dates&gt;&lt;isbn&gt;1741-1130&lt;/isbn&gt;&lt;urls&gt;&lt;/urls&gt;&lt;/record&gt;&lt;/Cite&gt;&lt;/EndNote&gt;</w:instrText>
      </w:r>
      <w:r w:rsidRPr="00F26732">
        <w:fldChar w:fldCharType="separate"/>
      </w:r>
      <w:r w:rsidRPr="00F26732">
        <w:t>(</w:t>
      </w:r>
      <w:hyperlink w:anchor="_ENREF_13" w:tooltip="Daniel, 2013 #10" w:history="1">
        <w:r w:rsidRPr="00F26732">
          <w:t>Daniel et al., 2013</w:t>
        </w:r>
      </w:hyperlink>
      <w:r w:rsidRPr="00F26732">
        <w:t xml:space="preserve">, </w:t>
      </w:r>
      <w:hyperlink w:anchor="_ENREF_40" w:tooltip="Northway, 2013 #22" w:history="1">
        <w:r w:rsidRPr="00F26732">
          <w:t>Northway et al., 2013a</w:t>
        </w:r>
      </w:hyperlink>
      <w:r w:rsidRPr="00F26732">
        <w:t>)</w:t>
      </w:r>
      <w:r w:rsidRPr="00F26732">
        <w:fldChar w:fldCharType="end"/>
      </w:r>
      <w:r w:rsidRPr="00F26732">
        <w:t xml:space="preserve">. This is important as it again affirms the role of capacity building for people with disability’s own decision-making. </w:t>
      </w:r>
    </w:p>
    <w:p w14:paraId="0679F202" w14:textId="77777777" w:rsidR="00F26732" w:rsidRPr="00F26732" w:rsidRDefault="00F26732" w:rsidP="00F26732">
      <w:pPr>
        <w:numPr>
          <w:ilvl w:val="0"/>
          <w:numId w:val="15"/>
        </w:numPr>
      </w:pPr>
      <w:r w:rsidRPr="00F26732">
        <w:t xml:space="preserve">Other sources of support used by people with disability, including particularly people with intellectual disability, that are highlighted in the existing academic literature include safety education programs </w:t>
      </w:r>
      <w:r w:rsidRPr="00F26732">
        <w:fldChar w:fldCharType="begin"/>
      </w:r>
      <w:r w:rsidRPr="00F26732">
        <w:instrText xml:space="preserve"> ADDIN EN.CITE &lt;EndNote&gt;&lt;Cite&gt;&lt;Author&gt;Khemka&lt;/Author&gt;&lt;Year&gt;2005&lt;/Year&gt;&lt;RecNum&gt;25&lt;/RecNum&gt;&lt;DisplayText&gt;(Khemka et al., 2005)&lt;/DisplayText&gt;&lt;record&gt;&lt;rec-number&gt;25&lt;/rec-number&gt;&lt;foreign-keys&gt;&lt;key app="EN" db-id="e2pvpettoe5ddver2zlpspd00avfvwwf99z5"&gt;25&lt;/key&gt;&lt;/foreign-keys&gt;&lt;ref-type name="Journal Article"&gt;17&lt;/ref-type&gt;&lt;contributors&gt;&lt;authors&gt;&lt;author&gt;Khemka, Ishita&lt;/author&gt;&lt;author&gt;Hickson, Linda&lt;/author&gt;&lt;author&gt;Reynolds, Gillian&lt;/author&gt;&lt;author&gt;MacLean Jr, William E&lt;/author&gt;&lt;/authors&gt;&lt;/contributors&gt;&lt;titles&gt;&lt;title&gt;Evaluation of a decision-making curriculum designed to empower women with mental retardation to resist abuse&lt;/title&gt;&lt;secondary-title&gt;American Journal on Mental Retardation&lt;/secondary-title&gt;&lt;/titles&gt;&lt;periodical&gt;&lt;full-title&gt;American Journal on Mental Retardation&lt;/full-title&gt;&lt;/periodical&gt;&lt;pages&gt;193-204&lt;/pages&gt;&lt;volume&gt;110&lt;/volume&gt;&lt;number&gt;3&lt;/number&gt;&lt;dates&gt;&lt;year&gt;2005&lt;/year&gt;&lt;/dates&gt;&lt;isbn&gt;0895-8017&lt;/isbn&gt;&lt;urls&gt;&lt;/urls&gt;&lt;/record&gt;&lt;/Cite&gt;&lt;/EndNote&gt;</w:instrText>
      </w:r>
      <w:r w:rsidRPr="00F26732">
        <w:fldChar w:fldCharType="separate"/>
      </w:r>
      <w:r w:rsidRPr="00F26732">
        <w:t>(</w:t>
      </w:r>
      <w:hyperlink w:anchor="_ENREF_28" w:tooltip="Khemka, 2005 #25" w:history="1">
        <w:r w:rsidRPr="00F26732">
          <w:t>Khemka et al., 2005</w:t>
        </w:r>
      </w:hyperlink>
      <w:r w:rsidRPr="00F26732">
        <w:t>)</w:t>
      </w:r>
      <w:r w:rsidRPr="00F26732">
        <w:fldChar w:fldCharType="end"/>
      </w:r>
      <w:r w:rsidRPr="00F26732">
        <w:t xml:space="preserve">, peer advocates and peer support groups </w:t>
      </w:r>
      <w:r w:rsidRPr="00F26732">
        <w:fldChar w:fldCharType="begin"/>
      </w:r>
      <w:r w:rsidRPr="00F26732">
        <w:instrText xml:space="preserve"> ADDIN EN.CITE &lt;EndNote&gt;&lt;Cite&gt;&lt;Author&gt;Northway&lt;/Author&gt;&lt;Year&gt;2013&lt;/Year&gt;&lt;RecNum&gt;22&lt;/RecNum&gt;&lt;DisplayText&gt;(Northway et al., 2013a, Frawley and Bigby, 2014)&lt;/DisplayText&gt;&lt;record&gt;&lt;rec-number&gt;22&lt;/rec-number&gt;&lt;foreign-keys&gt;&lt;key app="EN" db-id="e2pvpettoe5ddver2zlpspd00avfvwwf99z5"&gt;22&lt;/key&gt;&lt;/foreign-keys&gt;&lt;ref-type name="Journal Article"&gt;17&lt;/ref-type&gt;&lt;contributors&gt;&lt;authors&gt;&lt;author&gt;Northway, Ruth&lt;/author&gt;&lt;author&gt;Bennett, Davey&lt;/author&gt;&lt;author&gt;Melsome, Mel&lt;/author&gt;&lt;author&gt;Flood, Samantha&lt;/author&gt;&lt;author&gt;Howarth, Joyce&lt;/author&gt;&lt;author&gt;Jones, Richard&lt;/author&gt;&lt;/authors&gt;&lt;/contributors&gt;&lt;titles&gt;&lt;title&gt;Keeping safe and providing support: a participatory survey about abuse and people with intellectual disabilities&lt;/title&gt;&lt;secondary-title&gt;Journal of Policy and Practice in Intellectual Disabilities&lt;/secondary-title&gt;&lt;/titles&gt;&lt;periodical&gt;&lt;full-title&gt;Journal of Policy and Practice in Intellectual Disabilities&lt;/full-title&gt;&lt;/periodical&gt;&lt;pages&gt;236-244&lt;/pages&gt;&lt;volume&gt;10&lt;/volume&gt;&lt;number&gt;3&lt;/number&gt;&lt;dates&gt;&lt;year&gt;2013&lt;/year&gt;&lt;/dates&gt;&lt;isbn&gt;1741-1130&lt;/isbn&gt;&lt;urls&gt;&lt;/urls&gt;&lt;/record&gt;&lt;/Cite&gt;&lt;Cite&gt;&lt;Author&gt;Frawley&lt;/Author&gt;&lt;Year&gt;2014&lt;/Year&gt;&lt;RecNum&gt;38&lt;/RecNum&gt;&lt;record&gt;&lt;rec-number&gt;38&lt;/rec-number&gt;&lt;foreign-keys&gt;&lt;key app="EN" db-id="e2pvpettoe5ddver2zlpspd00avfvwwf99z5"&gt;38&lt;/key&gt;&lt;/foreign-keys&gt;&lt;ref-type name="Journal Article"&gt;17&lt;/ref-type&gt;&lt;contributors&gt;&lt;authors&gt;&lt;author&gt;Frawley, Patsie&lt;/author&gt;&lt;author&gt;Bigby, Christine&lt;/author&gt;&lt;/authors&gt;&lt;/contributors&gt;&lt;titles&gt;&lt;title&gt;“I&amp;apos;m in their shoes”: Experiences of peer educators in sexuality and relationship education&lt;/title&gt;&lt;secondary-title&gt;Journal of intellectual and developmental disability&lt;/secondary-title&gt;&lt;/titles&gt;&lt;periodical&gt;&lt;full-title&gt;Journal of Intellectual and Developmental Disability&lt;/full-title&gt;&lt;/periodical&gt;&lt;pages&gt;167-176&lt;/pages&gt;&lt;volume&gt;39&lt;/volume&gt;&lt;number&gt;2&lt;/number&gt;&lt;dates&gt;&lt;year&gt;2014&lt;/year&gt;&lt;/dates&gt;&lt;isbn&gt;1366-8250&lt;/isbn&gt;&lt;urls&gt;&lt;/urls&gt;&lt;/record&gt;&lt;/Cite&gt;&lt;/EndNote&gt;</w:instrText>
      </w:r>
      <w:r w:rsidRPr="00F26732">
        <w:fldChar w:fldCharType="separate"/>
      </w:r>
      <w:r w:rsidRPr="00F26732">
        <w:t>(</w:t>
      </w:r>
      <w:hyperlink w:anchor="_ENREF_40" w:tooltip="Northway, 2013 #22" w:history="1">
        <w:r w:rsidRPr="00F26732">
          <w:t>Northway et al., 2013a</w:t>
        </w:r>
      </w:hyperlink>
      <w:r w:rsidRPr="00F26732">
        <w:t xml:space="preserve">, </w:t>
      </w:r>
      <w:hyperlink w:anchor="_ENREF_17" w:tooltip="Frawley, 2014 #38" w:history="1">
        <w:r w:rsidRPr="00F26732">
          <w:t>Frawley and Bigby, 2014</w:t>
        </w:r>
      </w:hyperlink>
      <w:r w:rsidRPr="00F26732">
        <w:t>)</w:t>
      </w:r>
      <w:r w:rsidRPr="00F26732">
        <w:fldChar w:fldCharType="end"/>
      </w:r>
      <w:r w:rsidRPr="00F26732">
        <w:t xml:space="preserve">, service provider agencies </w:t>
      </w:r>
      <w:r w:rsidRPr="00F26732">
        <w:fldChar w:fldCharType="begin"/>
      </w:r>
      <w:r w:rsidRPr="00F26732">
        <w:instrText xml:space="preserve"> ADDIN EN.CITE &lt;EndNote&gt;&lt;Cite&gt;&lt;Author&gt;Hollomotz&lt;/Author&gt;&lt;Year&gt;2012&lt;/Year&gt;&lt;RecNum&gt;30&lt;/RecNum&gt;&lt;DisplayText&gt;(Hollomotz, 2012)&lt;/DisplayText&gt;&lt;record&gt;&lt;rec-number&gt;30&lt;/rec-number&gt;&lt;foreign-keys&gt;&lt;key app="EN" db-id="e2pvpettoe5ddver2zlpspd00avfvwwf99z5"&gt;30&lt;/key&gt;&lt;/foreign-keys&gt;&lt;ref-type name="Journal Article"&gt;17&lt;/ref-type&gt;&lt;contributors&gt;&lt;authors&gt;&lt;author&gt;Hollomotz, Andrea&lt;/author&gt;&lt;/authors&gt;&lt;/contributors&gt;&lt;titles&gt;&lt;title&gt;‘A lad tried to get hold of my boobs, so I kicked him’: an examination of attempts by adults with learning difficulties to initiate their own safeguarding&lt;/title&gt;&lt;secondary-title&gt;Disability &amp;amp; Society&lt;/secondary-title&gt;&lt;/titles&gt;&lt;periodical&gt;&lt;full-title&gt;Disability &amp;amp; Society&lt;/full-title&gt;&lt;/periodical&gt;&lt;pages&gt;117-129&lt;/pages&gt;&lt;volume&gt;27&lt;/volume&gt;&lt;number&gt;1&lt;/number&gt;&lt;dates&gt;&lt;year&gt;2012&lt;/year&gt;&lt;/dates&gt;&lt;isbn&gt;0968-7599&lt;/isbn&gt;&lt;urls&gt;&lt;/urls&gt;&lt;/record&gt;&lt;/Cite&gt;&lt;/EndNote&gt;</w:instrText>
      </w:r>
      <w:r w:rsidRPr="00F26732">
        <w:fldChar w:fldCharType="separate"/>
      </w:r>
      <w:r w:rsidRPr="00F26732">
        <w:t>(</w:t>
      </w:r>
      <w:hyperlink w:anchor="_ENREF_24" w:tooltip="Hollomotz, 2012 #30" w:history="1">
        <w:r w:rsidRPr="00F26732">
          <w:t>Hollomotz, 2012</w:t>
        </w:r>
      </w:hyperlink>
      <w:r w:rsidRPr="00F26732">
        <w:t>)</w:t>
      </w:r>
      <w:r w:rsidRPr="00F26732">
        <w:fldChar w:fldCharType="end"/>
      </w:r>
      <w:r w:rsidRPr="00F26732">
        <w:t xml:space="preserve">, paid staff </w:t>
      </w:r>
      <w:r w:rsidRPr="00F26732">
        <w:fldChar w:fldCharType="begin"/>
      </w:r>
      <w:r w:rsidRPr="00F26732">
        <w:instrText xml:space="preserve"> ADDIN EN.CITE &lt;EndNote&gt;&lt;Cite&gt;&lt;Author&gt;Schaafsma&lt;/Author&gt;&lt;Year&gt;2014&lt;/Year&gt;&lt;RecNum&gt;48&lt;/RecNum&gt;&lt;DisplayText&gt;(Schaafsma et al., 2014)&lt;/DisplayText&gt;&lt;record&gt;&lt;rec-number&gt;48&lt;/rec-number&gt;&lt;foreign-keys&gt;&lt;key app="EN" db-id="e2pvpettoe5ddver2zlpspd00avfvwwf99z5"&gt;48&lt;/key&gt;&lt;/foreign-keys&gt;&lt;ref-type name="Journal Article"&gt;17&lt;/ref-type&gt;&lt;contributors&gt;&lt;authors&gt;&lt;author&gt;Schaafsma, Dilana&lt;/author&gt;&lt;author&gt;Kok, Gerjo&lt;/author&gt;&lt;author&gt;Stoffelen, Joke MT&lt;/author&gt;&lt;author&gt;Van Doorn, Paulien&lt;/author&gt;&lt;author&gt;Curfs, Leopold MG&lt;/author&gt;&lt;/authors&gt;&lt;/contributors&gt;&lt;titles&gt;&lt;title&gt;Identifying the important factors associated with teaching sex education to people with intellectual disability: A cross-sectional survey among paid care staff&lt;/title&gt;&lt;secondary-title&gt;Journal of Intellectual and Developmental Disability&lt;/secondary-title&gt;&lt;/titles&gt;&lt;periodical&gt;&lt;full-title&gt;Journal of Intellectual and Developmental Disability&lt;/full-title&gt;&lt;/periodical&gt;&lt;pages&gt;157-166&lt;/pages&gt;&lt;volume&gt;39&lt;/volume&gt;&lt;number&gt;2&lt;/number&gt;&lt;dates&gt;&lt;year&gt;2014&lt;/year&gt;&lt;/dates&gt;&lt;isbn&gt;1366-8250&lt;/isbn&gt;&lt;urls&gt;&lt;/urls&gt;&lt;/record&gt;&lt;/Cite&gt;&lt;/EndNote&gt;</w:instrText>
      </w:r>
      <w:r w:rsidRPr="00F26732">
        <w:fldChar w:fldCharType="separate"/>
      </w:r>
      <w:r w:rsidRPr="00F26732">
        <w:t>(</w:t>
      </w:r>
      <w:hyperlink w:anchor="_ENREF_55" w:tooltip="Schaafsma, 2014 #48" w:history="1">
        <w:r w:rsidRPr="00F26732">
          <w:t>Schaafsma et al., 2014</w:t>
        </w:r>
      </w:hyperlink>
      <w:r w:rsidRPr="00F26732">
        <w:t>)</w:t>
      </w:r>
      <w:r w:rsidRPr="00F26732">
        <w:fldChar w:fldCharType="end"/>
      </w:r>
      <w:r w:rsidRPr="00F26732">
        <w:t xml:space="preserve">, schools </w:t>
      </w:r>
      <w:r w:rsidRPr="00F26732">
        <w:fldChar w:fldCharType="begin"/>
      </w:r>
      <w:r w:rsidRPr="00F26732">
        <w:instrText xml:space="preserve"> ADDIN EN.CITE &lt;EndNote&gt;&lt;Cite&gt;&lt;Author&gt;Lamorey&lt;/Author&gt;&lt;Year&gt;2010&lt;/Year&gt;&lt;RecNum&gt;41&lt;/RecNum&gt;&lt;DisplayText&gt;(Lamorey, 2010)&lt;/DisplayText&gt;&lt;record&gt;&lt;rec-number&gt;41&lt;/rec-number&gt;&lt;foreign-keys&gt;&lt;key app="EN" db-id="e2pvpettoe5ddver2zlpspd00avfvwwf99z5"&gt;41&lt;/key&gt;&lt;/foreign-keys&gt;&lt;ref-type name="Journal Article"&gt;17&lt;/ref-type&gt;&lt;contributors&gt;&lt;authors&gt;&lt;author&gt;Lamorey, Suzanne&lt;/author&gt;&lt;/authors&gt;&lt;/contributors&gt;&lt;titles&gt;&lt;title&gt;Risk Reduction Education Voices From the Field&lt;/title&gt;&lt;secondary-title&gt;Remedial and Special Education&lt;/secondary-title&gt;&lt;/titles&gt;&lt;periodical&gt;&lt;full-title&gt;Remedial and Special Education&lt;/full-title&gt;&lt;/periodical&gt;&lt;pages&gt;87-96&lt;/pages&gt;&lt;volume&gt;31&lt;/volume&gt;&lt;number&gt;2&lt;/number&gt;&lt;dates&gt;&lt;year&gt;2010&lt;/year&gt;&lt;/dates&gt;&lt;isbn&gt;0741-9325&lt;/isbn&gt;&lt;urls&gt;&lt;/urls&gt;&lt;/record&gt;&lt;/Cite&gt;&lt;/EndNote&gt;</w:instrText>
      </w:r>
      <w:r w:rsidRPr="00F26732">
        <w:fldChar w:fldCharType="separate"/>
      </w:r>
      <w:r w:rsidRPr="00F26732">
        <w:t>(</w:t>
      </w:r>
      <w:hyperlink w:anchor="_ENREF_29" w:tooltip="Lamorey, 2010 #41" w:history="1">
        <w:r w:rsidRPr="00F26732">
          <w:t>Lamorey, 2010</w:t>
        </w:r>
      </w:hyperlink>
      <w:r w:rsidRPr="00F26732">
        <w:t>)</w:t>
      </w:r>
      <w:r w:rsidRPr="00F26732">
        <w:fldChar w:fldCharType="end"/>
      </w:r>
      <w:r w:rsidRPr="00F26732">
        <w:t xml:space="preserve"> and the police </w:t>
      </w:r>
      <w:r w:rsidRPr="00F26732">
        <w:fldChar w:fldCharType="begin"/>
      </w:r>
      <w:r w:rsidRPr="00F26732">
        <w:instrText xml:space="preserve"> ADDIN EN.CITE &lt;EndNote&gt;&lt;Cite&gt;&lt;Author&gt;Hollomotz&lt;/Author&gt;&lt;Year&gt;2012&lt;/Year&gt;&lt;RecNum&gt;30&lt;/RecNum&gt;&lt;DisplayText&gt;(Hollomotz, 2012, Northway et al., 2013a)&lt;/DisplayText&gt;&lt;record&gt;&lt;rec-number&gt;30&lt;/rec-number&gt;&lt;foreign-keys&gt;&lt;key app="EN" db-id="e2pvpettoe5ddver2zlpspd00avfvwwf99z5"&gt;30&lt;/key&gt;&lt;/foreign-keys&gt;&lt;ref-type name="Journal Article"&gt;17&lt;/ref-type&gt;&lt;contributors&gt;&lt;authors&gt;&lt;author&gt;Hollomotz, Andrea&lt;/author&gt;&lt;/authors&gt;&lt;/contributors&gt;&lt;titles&gt;&lt;title&gt;‘A lad tried to get hold of my boobs, so I kicked him’: an examination of attempts by adults with learning difficulties to initiate their own safeguarding&lt;/title&gt;&lt;secondary-title&gt;Disability &amp;amp; Society&lt;/secondary-title&gt;&lt;/titles&gt;&lt;periodical&gt;&lt;full-title&gt;Disability &amp;amp; Society&lt;/full-title&gt;&lt;/periodical&gt;&lt;pages&gt;117-129&lt;/pages&gt;&lt;volume&gt;27&lt;/volume&gt;&lt;number&gt;1&lt;/number&gt;&lt;dates&gt;&lt;year&gt;2012&lt;/year&gt;&lt;/dates&gt;&lt;isbn&gt;0968-7599&lt;/isbn&gt;&lt;urls&gt;&lt;/urls&gt;&lt;/record&gt;&lt;/Cite&gt;&lt;Cite&gt;&lt;Author&gt;Northway&lt;/Author&gt;&lt;Year&gt;2013&lt;/Year&gt;&lt;RecNum&gt;22&lt;/RecNum&gt;&lt;record&gt;&lt;rec-number&gt;22&lt;/rec-number&gt;&lt;foreign-keys&gt;&lt;key app="EN" db-id="e2pvpettoe5ddver2zlpspd00avfvwwf99z5"&gt;22&lt;/key&gt;&lt;/foreign-keys&gt;&lt;ref-type name="Journal Article"&gt;17&lt;/ref-type&gt;&lt;contributors&gt;&lt;authors&gt;&lt;author&gt;Northway, Ruth&lt;/author&gt;&lt;author&gt;Bennett, Davey&lt;/author&gt;&lt;author&gt;Melsome, Mel&lt;/author&gt;&lt;author&gt;Flood, Samantha&lt;/author&gt;&lt;author&gt;Howarth, Joyce&lt;/author&gt;&lt;author&gt;Jones, Richard&lt;/author&gt;&lt;/authors&gt;&lt;/contributors&gt;&lt;titles&gt;&lt;title&gt;Keeping safe and providing support: a participatory survey about abuse and people with intellectual disabilities&lt;/title&gt;&lt;secondary-title&gt;Journal of Policy and Practice in Intellectual Disabilities&lt;/secondary-title&gt;&lt;/titles&gt;&lt;periodical&gt;&lt;full-title&gt;Journal of Policy and Practice in Intellectual Disabilities&lt;/full-title&gt;&lt;/periodical&gt;&lt;pages&gt;236-244&lt;/pages&gt;&lt;volume&gt;10&lt;/volume&gt;&lt;number&gt;3&lt;/number&gt;&lt;dates&gt;&lt;year&gt;2013&lt;/year&gt;&lt;/dates&gt;&lt;isbn&gt;1741-1130&lt;/isbn&gt;&lt;urls&gt;&lt;/urls&gt;&lt;/record&gt;&lt;/Cite&gt;&lt;/EndNote&gt;</w:instrText>
      </w:r>
      <w:r w:rsidRPr="00F26732">
        <w:fldChar w:fldCharType="separate"/>
      </w:r>
      <w:r w:rsidRPr="00F26732">
        <w:t>(</w:t>
      </w:r>
      <w:hyperlink w:anchor="_ENREF_24" w:tooltip="Hollomotz, 2012 #30" w:history="1">
        <w:r w:rsidRPr="00F26732">
          <w:t>Hollomotz, 2012</w:t>
        </w:r>
      </w:hyperlink>
      <w:r w:rsidRPr="00F26732">
        <w:t xml:space="preserve">, </w:t>
      </w:r>
      <w:hyperlink w:anchor="_ENREF_40" w:tooltip="Northway, 2013 #22" w:history="1">
        <w:r w:rsidRPr="00F26732">
          <w:t>Northway et al., 2013a</w:t>
        </w:r>
      </w:hyperlink>
      <w:r w:rsidRPr="00F26732">
        <w:t>)</w:t>
      </w:r>
      <w:r w:rsidRPr="00F26732">
        <w:fldChar w:fldCharType="end"/>
      </w:r>
      <w:r w:rsidRPr="00F26732">
        <w:t xml:space="preserve">. These sources of support may however have varying impact and be subject to some constraints. For example, one study recounted an instance of police involvement being over-ridden where a service agency said that they preferred to deal with a violent incident internally </w:t>
      </w:r>
      <w:r w:rsidRPr="00F26732">
        <w:fldChar w:fldCharType="begin"/>
      </w:r>
      <w:r w:rsidRPr="00F26732">
        <w:instrText xml:space="preserve"> ADDIN EN.CITE &lt;EndNote&gt;&lt;Cite&gt;&lt;Author&gt;Hollomotz&lt;/Author&gt;&lt;Year&gt;2012&lt;/Year&gt;&lt;RecNum&gt;30&lt;/RecNum&gt;&lt;DisplayText&gt;(Hollomotz, 2012)&lt;/DisplayText&gt;&lt;record&gt;&lt;rec-number&gt;30&lt;/rec-number&gt;&lt;foreign-keys&gt;&lt;key app="EN" db-id="e2pvpettoe5ddver2zlpspd00avfvwwf99z5"&gt;30&lt;/key&gt;&lt;/foreign-keys&gt;&lt;ref-type name="Journal Article"&gt;17&lt;/ref-type&gt;&lt;contributors&gt;&lt;authors&gt;&lt;author&gt;Hollomotz, Andrea&lt;/author&gt;&lt;/authors&gt;&lt;/contributors&gt;&lt;titles&gt;&lt;title&gt;‘A lad tried to get hold of my boobs, so I kicked him’: an examination of attempts by adults with learning difficulties to initiate their own safeguarding&lt;/title&gt;&lt;secondary-title&gt;Disability &amp;amp; Society&lt;/secondary-title&gt;&lt;/titles&gt;&lt;periodical&gt;&lt;full-title&gt;Disability &amp;amp; Society&lt;/full-title&gt;&lt;/periodical&gt;&lt;pages&gt;117-129&lt;/pages&gt;&lt;volume&gt;27&lt;/volume&gt;&lt;number&gt;1&lt;/number&gt;&lt;dates&gt;&lt;year&gt;2012&lt;/year&gt;&lt;/dates&gt;&lt;isbn&gt;0968-7599&lt;/isbn&gt;&lt;urls&gt;&lt;/urls&gt;&lt;/record&gt;&lt;/Cite&gt;&lt;/EndNote&gt;</w:instrText>
      </w:r>
      <w:r w:rsidRPr="00F26732">
        <w:fldChar w:fldCharType="separate"/>
      </w:r>
      <w:r w:rsidRPr="00F26732">
        <w:t>(</w:t>
      </w:r>
      <w:hyperlink w:anchor="_ENREF_24" w:tooltip="Hollomotz, 2012 #30" w:history="1">
        <w:r w:rsidRPr="00F26732">
          <w:t>Hollomotz, 2012</w:t>
        </w:r>
      </w:hyperlink>
      <w:r w:rsidRPr="00F26732">
        <w:t>)</w:t>
      </w:r>
      <w:r w:rsidRPr="00F26732">
        <w:fldChar w:fldCharType="end"/>
      </w:r>
      <w:r w:rsidRPr="00F26732">
        <w:t xml:space="preserve">. Other research has highlighted that lack of choice and control, problems with paid staff, inter-relational troubles and fear could all sometimes constrain the extent to which particularly people with intellectual disability could enact their decisions and strategies for keeping safe and preventing harm </w:t>
      </w:r>
      <w:r w:rsidRPr="00F26732">
        <w:fldChar w:fldCharType="begin"/>
      </w:r>
      <w:r w:rsidRPr="00F26732">
        <w:instrText xml:space="preserve"> ADDIN EN.CITE &lt;EndNote&gt;&lt;Cite&gt;&lt;Author&gt;Robinson&lt;/Author&gt;&lt;Year&gt;2014&lt;/Year&gt;&lt;RecNum&gt;50&lt;/RecNum&gt;&lt;DisplayText&gt;(Robinson, 2014)&lt;/DisplayText&gt;&lt;record&gt;&lt;rec-number&gt;50&lt;/rec-number&gt;&lt;foreign-keys&gt;&lt;key app="EN" db-id="e2pvpettoe5ddver2zlpspd00avfvwwf99z5"&gt;50&lt;/key&gt;&lt;/foreign-keys&gt;&lt;ref-type name="Journal Article"&gt;17&lt;/ref-type&gt;&lt;contributors&gt;&lt;authors&gt;&lt;author&gt;Robinson, Sally&lt;/author&gt;&lt;/authors&gt;&lt;/contributors&gt;&lt;titles&gt;&lt;title&gt;Safe at home? Factors influencing the safety strategies used by people with intellectual disability&lt;/title&gt;&lt;secondary-title&gt;Scandinavian Journal of Disability Research&lt;/secondary-title&gt;&lt;/titles&gt;&lt;periodical&gt;&lt;full-title&gt;Scandinavian Journal of Disability Research&lt;/full-title&gt;&lt;/periodical&gt;&lt;pages&gt;99-113&lt;/pages&gt;&lt;volume&gt;16&lt;/volume&gt;&lt;number&gt;2&lt;/number&gt;&lt;dates&gt;&lt;year&gt;2014&lt;/year&gt;&lt;/dates&gt;&lt;isbn&gt;1501-7419&lt;/isbn&gt;&lt;urls&gt;&lt;/urls&gt;&lt;/record&gt;&lt;/Cite&gt;&lt;/EndNote&gt;</w:instrText>
      </w:r>
      <w:r w:rsidRPr="00F26732">
        <w:fldChar w:fldCharType="separate"/>
      </w:r>
      <w:r w:rsidRPr="00F26732">
        <w:t>(</w:t>
      </w:r>
      <w:hyperlink w:anchor="_ENREF_49" w:tooltip="Robinson, 2014 #50" w:history="1">
        <w:r w:rsidRPr="00F26732">
          <w:t>Robinson, 2014</w:t>
        </w:r>
      </w:hyperlink>
      <w:r w:rsidRPr="00F26732">
        <w:t>)</w:t>
      </w:r>
      <w:r w:rsidRPr="00F26732">
        <w:fldChar w:fldCharType="end"/>
      </w:r>
      <w:r w:rsidRPr="00F26732">
        <w:t>.</w:t>
      </w:r>
    </w:p>
    <w:p w14:paraId="0F45FBE4" w14:textId="77777777" w:rsidR="00F26732" w:rsidRPr="00F26732" w:rsidRDefault="00F26732" w:rsidP="00F26732">
      <w:pPr>
        <w:numPr>
          <w:ilvl w:val="0"/>
          <w:numId w:val="15"/>
        </w:numPr>
      </w:pPr>
      <w:r w:rsidRPr="00F26732">
        <w:t xml:space="preserve">Across the programs reviewed for the development of practice evidence, sources of support similarly included family members, project staff/service providers and, increasingly, peer advocates (e.g. advocates with intellectual disability supporting other people with intellectual disability). The practice evidence also suggests some insights about how these different sources of support may operate and/or interact with each other. It suggests that: </w:t>
      </w:r>
    </w:p>
    <w:p w14:paraId="0ADD000C" w14:textId="77777777" w:rsidR="00F26732" w:rsidRPr="00F26732" w:rsidRDefault="00F26732" w:rsidP="00F26732">
      <w:pPr>
        <w:pStyle w:val="ListBullet"/>
      </w:pPr>
      <w:r w:rsidRPr="00F26732">
        <w:t xml:space="preserve">Co-design of support with peer advocates and/or people from a similar cultural background to those being supported can enable greater relevance of concepts, language, activities and resources, and increased likelihood of sustainability of supported decision-making – having an Indigenous-led program for Indigenous people, for example, was beneficial; </w:t>
      </w:r>
    </w:p>
    <w:p w14:paraId="5B5771E6" w14:textId="77777777" w:rsidR="00F26732" w:rsidRPr="00F26732" w:rsidRDefault="00F26732" w:rsidP="00F26732">
      <w:pPr>
        <w:pStyle w:val="ListBullet"/>
      </w:pPr>
      <w:r w:rsidRPr="00F26732">
        <w:t>A mix of individualised, group and peer-learning opportunities is valuable for maximising a range of opportunities to learn and develop decision-making, thus drawing on different combinations of sources of support; and</w:t>
      </w:r>
    </w:p>
    <w:p w14:paraId="44B95E78" w14:textId="77777777" w:rsidR="00F26732" w:rsidRPr="00F26732" w:rsidRDefault="00F26732" w:rsidP="00F26732">
      <w:pPr>
        <w:pStyle w:val="ListBullet"/>
      </w:pPr>
      <w:r w:rsidRPr="00F26732">
        <w:lastRenderedPageBreak/>
        <w:t xml:space="preserve">People with disability’s decisions can best be upheld where attention is given to the relationships they share with a range of supporters and to ensuring that those supporters are assisted to manage clashes of interest in the implementation of decisions, be supported in their own right and be powerful enablers the person with disability’s own decisions. This may particularly apply to family members of people with intellectual disability, who care deeply about their family member with intellectual disability, but may have had responsibility for managing situations that have not turned out well in the past. Where attention is not given to these issues for supporters, the decisions made particularly by people with intellectual disability may not be upheld. </w:t>
      </w:r>
    </w:p>
    <w:p w14:paraId="1669FA3D" w14:textId="77777777" w:rsidR="00F26732" w:rsidRDefault="00F26732" w:rsidP="00F26732">
      <w:pPr>
        <w:numPr>
          <w:ilvl w:val="0"/>
          <w:numId w:val="15"/>
        </w:numPr>
      </w:pPr>
      <w:r w:rsidRPr="00F26732">
        <w:t xml:space="preserve">In this respect, the practice evidence builds on the academic literature’s insights about who are key sources of support, to extend to insights about how these sources of support work together as a spectrum of support to people with disability and the range of support that may be required across this spectrum. The review therefore highlights that trusted supporters are critical and very much valued, but also part of a range of sources of support. This is significant in that it means people with disability may draw support from across their social structures, including close friends and family, but also through their communities, services and wider society. </w:t>
      </w:r>
    </w:p>
    <w:p w14:paraId="7AB1A510" w14:textId="77777777" w:rsidR="00F26732" w:rsidRPr="00F26732" w:rsidRDefault="00F26732" w:rsidP="00F26732">
      <w:pPr>
        <w:pStyle w:val="Heading1"/>
      </w:pPr>
      <w:bookmarkStart w:id="13" w:name="_Toc480381289"/>
      <w:r w:rsidRPr="00F26732">
        <w:lastRenderedPageBreak/>
        <w:t>Experiences of different groups</w:t>
      </w:r>
      <w:bookmarkEnd w:id="13"/>
    </w:p>
    <w:p w14:paraId="0C164BC7" w14:textId="77777777" w:rsidR="00F26732" w:rsidRDefault="00F26732" w:rsidP="00F26732">
      <w:pPr>
        <w:numPr>
          <w:ilvl w:val="0"/>
          <w:numId w:val="15"/>
        </w:numPr>
      </w:pPr>
      <w:r>
        <w:t xml:space="preserve">Limited information is available from the academic literature about the experiences of different groups of people with disability with regard to support to make decisions that promote personal safety and prevent harm. This is perhaps a consequence of the relatively small number of studies that have directly asked people with disability about their experiences and perceptions in this area. A large number of studies identify specific groups of people with disability, particularly intellectual disability, who are at increased risk of harm – including women </w:t>
      </w:r>
      <w:r>
        <w:fldChar w:fldCharType="begin"/>
      </w:r>
      <w:r>
        <w:instrText xml:space="preserve"> ADDIN EN.CITE &lt;EndNote&gt;&lt;Cite&gt;&lt;Author&gt;Brown&lt;/Author&gt;&lt;Year&gt;2004&lt;/Year&gt;&lt;RecNum&gt;32&lt;/RecNum&gt;&lt;DisplayText&gt;(Brown, 2004)&lt;/DisplayText&gt;&lt;record&gt;&lt;rec-number&gt;32&lt;/rec-number&gt;&lt;foreign-keys&gt;&lt;key app="EN" db-id="e2pvpettoe5ddver2zlpspd00avfvwwf99z5"&gt;32&lt;/key&gt;&lt;/foreign-keys&gt;&lt;ref-type name="Journal Article"&gt;17&lt;/ref-type&gt;&lt;contributors&gt;&lt;authors&gt;&lt;author&gt;Brown, Hilary&lt;/author&gt;&lt;/authors&gt;&lt;/contributors&gt;&lt;titles&gt;&lt;title&gt;A rights-based approach to abuse of women with learning disabilities&lt;/title&gt;&lt;secondary-title&gt;Tizard Learning Disability Review&lt;/secondary-title&gt;&lt;/titles&gt;&lt;periodical&gt;&lt;full-title&gt;Tizard Learning Disability Review&lt;/full-title&gt;&lt;/periodical&gt;&lt;pages&gt;41-44&lt;/pages&gt;&lt;volume&gt;9&lt;/volume&gt;&lt;number&gt;4&lt;/number&gt;&lt;dates&gt;&lt;year&gt;2004&lt;/year&gt;&lt;/dates&gt;&lt;isbn&gt;1359-5474&lt;/isbn&gt;&lt;urls&gt;&lt;/urls&gt;&lt;/record&gt;&lt;/Cite&gt;&lt;/EndNote&gt;</w:instrText>
      </w:r>
      <w:r>
        <w:fldChar w:fldCharType="separate"/>
      </w:r>
      <w:r w:rsidRPr="00F26732">
        <w:t>(</w:t>
      </w:r>
      <w:hyperlink w:anchor="_ENREF_4" w:tooltip="Brown, 2004 #32" w:history="1">
        <w:r w:rsidRPr="00F26732">
          <w:t>Brown, 2004</w:t>
        </w:r>
      </w:hyperlink>
      <w:r w:rsidRPr="00F26732">
        <w:t>)</w:t>
      </w:r>
      <w:r>
        <w:fldChar w:fldCharType="end"/>
      </w:r>
      <w:r>
        <w:t xml:space="preserve">, people in prison </w:t>
      </w:r>
      <w:r>
        <w:fldChar w:fldCharType="begin"/>
      </w:r>
      <w:r>
        <w:instrText xml:space="preserve"> ADDIN EN.CITE &lt;EndNote&gt;&lt;Cite&gt;&lt;Author&gt;Chan&lt;/Author&gt;&lt;Year&gt;2012&lt;/Year&gt;&lt;RecNum&gt;36&lt;/RecNum&gt;&lt;DisplayText&gt;(Chan et al., 2012)&lt;/DisplayText&gt;&lt;record&gt;&lt;rec-number&gt;36&lt;/rec-number&gt;&lt;foreign-keys&gt;&lt;key app="EN" db-id="e2pvpettoe5ddver2zlpspd00avfvwwf99z5"&gt;36&lt;/key&gt;&lt;/foreign-keys&gt;&lt;ref-type name="Journal Article"&gt;17&lt;/ref-type&gt;&lt;contributors&gt;&lt;authors&gt;&lt;author&gt;Chan, Jeffrey&lt;/author&gt;&lt;author&gt;French, Phillip&lt;/author&gt;&lt;author&gt;Hudson, Colin&lt;/author&gt;&lt;author&gt;Webber, Lynne&lt;/author&gt;&lt;/authors&gt;&lt;/contributors&gt;&lt;titles&gt;&lt;title&gt;Applying the CRPD to safeguard the rights of people with a disability in contact with the criminal justice system&lt;/title&gt;&lt;secondary-title&gt;Psychiatry, Psychology and Law&lt;/secondary-title&gt;&lt;/titles&gt;&lt;periodical&gt;&lt;full-title&gt;Psychiatry, Psychology and Law&lt;/full-title&gt;&lt;/periodical&gt;&lt;pages&gt;558-565&lt;/pages&gt;&lt;volume&gt;19&lt;/volume&gt;&lt;number&gt;4&lt;/number&gt;&lt;dates&gt;&lt;year&gt;2012&lt;/year&gt;&lt;/dates&gt;&lt;isbn&gt;1321-8719&lt;/isbn&gt;&lt;urls&gt;&lt;/urls&gt;&lt;/record&gt;&lt;/Cite&gt;&lt;/EndNote&gt;</w:instrText>
      </w:r>
      <w:r>
        <w:fldChar w:fldCharType="separate"/>
      </w:r>
      <w:r w:rsidRPr="00F26732">
        <w:t>(</w:t>
      </w:r>
      <w:hyperlink w:anchor="_ENREF_10" w:tooltip="Chan, 2012 #36" w:history="1">
        <w:r w:rsidRPr="00F26732">
          <w:t>Chan et al., 2012</w:t>
        </w:r>
      </w:hyperlink>
      <w:r w:rsidRPr="00F26732">
        <w:t>)</w:t>
      </w:r>
      <w:r>
        <w:fldChar w:fldCharType="end"/>
      </w:r>
      <w:r>
        <w:t xml:space="preserve">, people who identify as lesbian, gay, bisexual or transgender </w:t>
      </w:r>
      <w:r>
        <w:fldChar w:fldCharType="begin"/>
      </w:r>
      <w:r>
        <w:instrText xml:space="preserve"> ADDIN EN.CITE &lt;EndNote&gt;&lt;Cite&gt;&lt;Author&gt;McClelland&lt;/Author&gt;&lt;Year&gt;2012&lt;/Year&gt;&lt;RecNum&gt;42&lt;/RecNum&gt;&lt;DisplayText&gt;(McClelland et al., 2012)&lt;/DisplayText&gt;&lt;record&gt;&lt;rec-number&gt;42&lt;/rec-number&gt;&lt;foreign-keys&gt;&lt;key app="EN" db-id="e2pvpettoe5ddver2zlpspd00avfvwwf99z5"&gt;42&lt;/key&gt;&lt;/foreign-keys&gt;&lt;ref-type name="Journal Article"&gt;17&lt;/ref-type&gt;&lt;contributors&gt;&lt;authors&gt;&lt;author&gt;McClelland, Alex&lt;/author&gt;&lt;author&gt;Flicker, Sarah&lt;/author&gt;&lt;author&gt;Nepveux, Denise&lt;/author&gt;&lt;author&gt;Nixon, Stephanie&lt;/author&gt;&lt;author&gt;Vo, Tess&lt;/author&gt;&lt;author&gt;Wilson, Ciann&lt;/author&gt;&lt;author&gt;Marshall, Zack&lt;/author&gt;&lt;author&gt;Travers, Robb&lt;/author&gt;&lt;author&gt;Proudfoot, Devon&lt;/author&gt;&lt;/authors&gt;&lt;/contributors&gt;&lt;titles&gt;&lt;title&gt;Seeking safer sexual spaces: queer and trans young people labeled with intellectual disabilities and the paradoxical risks of restriction&lt;/title&gt;&lt;secondary-title&gt;Journal of homosexuality&lt;/secondary-title&gt;&lt;/titles&gt;&lt;periodical&gt;&lt;full-title&gt;Journal of homosexuality&lt;/full-title&gt;&lt;/periodical&gt;&lt;pages&gt;808-819&lt;/pages&gt;&lt;volume&gt;59&lt;/volume&gt;&lt;number&gt;6&lt;/number&gt;&lt;dates&gt;&lt;year&gt;2012&lt;/year&gt;&lt;/dates&gt;&lt;isbn&gt;0091-8369&lt;/isbn&gt;&lt;urls&gt;&lt;/urls&gt;&lt;/record&gt;&lt;/Cite&gt;&lt;/EndNote&gt;</w:instrText>
      </w:r>
      <w:r>
        <w:fldChar w:fldCharType="separate"/>
      </w:r>
      <w:r w:rsidRPr="00F26732">
        <w:t>(</w:t>
      </w:r>
      <w:hyperlink w:anchor="_ENREF_38" w:tooltip="McClelland, 2012 #42" w:history="1">
        <w:r w:rsidRPr="00F26732">
          <w:t>McClelland et al., 2012</w:t>
        </w:r>
      </w:hyperlink>
      <w:r w:rsidRPr="00F26732">
        <w:t>)</w:t>
      </w:r>
      <w:r>
        <w:fldChar w:fldCharType="end"/>
      </w:r>
      <w:r>
        <w:t xml:space="preserve"> </w:t>
      </w:r>
      <w:r w:rsidRPr="00243020">
        <w:t>and people w</w:t>
      </w:r>
      <w:r>
        <w:t xml:space="preserve">ith complex communication needs </w:t>
      </w:r>
      <w:r>
        <w:fldChar w:fldCharType="begin"/>
      </w:r>
      <w:r>
        <w:instrText xml:space="preserve"> ADDIN EN.CITE &lt;EndNote&gt;&lt;Cite&gt;&lt;Author&gt;Collier&lt;/Author&gt;&lt;Year&gt;2006&lt;/Year&gt;&lt;RecNum&gt;37&lt;/RecNum&gt;&lt;DisplayText&gt;(Collier et al., 2006)&lt;/DisplayText&gt;&lt;record&gt;&lt;rec-number&gt;37&lt;/rec-number&gt;&lt;foreign-keys&gt;&lt;key app="EN" db-id="e2pvpettoe5ddver2zlpspd00avfvwwf99z5"&gt;37&lt;/key&gt;&lt;/foreign-keys&gt;&lt;ref-type name="Journal Article"&gt;17&lt;/ref-type&gt;&lt;contributors&gt;&lt;authors&gt;&lt;author&gt;Collier, Barbara&lt;/author&gt;&lt;author&gt;McGhie-Richmond, Donna&lt;/author&gt;&lt;author&gt;Odette, Fran&lt;/author&gt;&lt;author&gt;Pyne, Jake&lt;/author&gt;&lt;/authors&gt;&lt;/contributors&gt;&lt;titles&gt;&lt;title&gt;Reducing the risk of sexual abuse for people who use augmentative and alternative communication&lt;/title&gt;&lt;secondary-title&gt;Augmentative and Alternative Communication&lt;/secondary-title&gt;&lt;/titles&gt;&lt;periodical&gt;&lt;full-title&gt;Augmentative and Alternative Communication&lt;/full-title&gt;&lt;/periodical&gt;&lt;pages&gt;62-75&lt;/pages&gt;&lt;volume&gt;22&lt;/volume&gt;&lt;number&gt;1&lt;/number&gt;&lt;dates&gt;&lt;year&gt;2006&lt;/year&gt;&lt;/dates&gt;&lt;isbn&gt;0743-4618&lt;/isbn&gt;&lt;urls&gt;&lt;/urls&gt;&lt;/record&gt;&lt;/Cite&gt;&lt;/EndNote&gt;</w:instrText>
      </w:r>
      <w:r>
        <w:fldChar w:fldCharType="separate"/>
      </w:r>
      <w:r w:rsidRPr="00F26732">
        <w:t>(</w:t>
      </w:r>
      <w:hyperlink w:anchor="_ENREF_11" w:tooltip="Collier, 2006 #37" w:history="1">
        <w:r w:rsidRPr="00F26732">
          <w:t>Collier et al., 2006</w:t>
        </w:r>
      </w:hyperlink>
      <w:r w:rsidRPr="00F26732">
        <w:t>)</w:t>
      </w:r>
      <w:r>
        <w:fldChar w:fldCharType="end"/>
      </w:r>
      <w:r>
        <w:t xml:space="preserve"> – but this literature does not always extend specifically to </w:t>
      </w:r>
      <w:r w:rsidRPr="00A76B83">
        <w:rPr>
          <w:i/>
        </w:rPr>
        <w:t>support for making decisions</w:t>
      </w:r>
      <w:r>
        <w:t xml:space="preserve"> about safety, risk and harm. </w:t>
      </w:r>
    </w:p>
    <w:p w14:paraId="4E65D999" w14:textId="77777777" w:rsidR="00F26732" w:rsidRPr="00A04B09" w:rsidRDefault="00F26732" w:rsidP="00F26732">
      <w:pPr>
        <w:numPr>
          <w:ilvl w:val="0"/>
          <w:numId w:val="15"/>
        </w:numPr>
      </w:pPr>
      <w:r w:rsidRPr="00A04B09">
        <w:t xml:space="preserve">Some life-course specific information is available. For example, recent research has identified that older people with intellectual disability are more concerned about health-related safety than those younger than them </w:t>
      </w:r>
      <w:r w:rsidRPr="00A04B09">
        <w:fldChar w:fldCharType="begin"/>
      </w:r>
      <w:r>
        <w:instrText xml:space="preserve"> ADDIN EN.CITE &lt;EndNote&gt;&lt;Cite&gt;&lt;Author&gt;Ottmann&lt;/Author&gt;&lt;Year&gt;2016&lt;/Year&gt;&lt;RecNum&gt;27&lt;/RecNum&gt;&lt;DisplayText&gt;(Ottmann et al., 2016)&lt;/DisplayText&gt;&lt;record&gt;&lt;rec-number&gt;27&lt;/rec-number&gt;&lt;foreign-keys&gt;&lt;key app="EN" db-id="e2pvpettoe5ddver2zlpspd00avfvwwf99z5"&gt;27&lt;/key&gt;&lt;/foreign-keys&gt;&lt;ref-type name="Journal Article"&gt;17&lt;/ref-type&gt;&lt;contributors&gt;&lt;authors&gt;&lt;author&gt;Ottmann, Goetz&lt;/author&gt;&lt;author&gt;McVilly, Keith&lt;/author&gt;&lt;author&gt;Maragoudaki, Margarita&lt;/author&gt;&lt;/authors&gt;&lt;/contributors&gt;&lt;titles&gt;&lt;title&gt;‘I walk from trouble’: exploring safeguards with adults with intellectual disabilities–an Australian qualitative study&lt;/title&gt;&lt;secondary-title&gt;Disability &amp;amp; Society&lt;/secondary-title&gt;&lt;/titles&gt;&lt;periodical&gt;&lt;full-title&gt;Disability &amp;amp; Society&lt;/full-title&gt;&lt;/periodical&gt;&lt;pages&gt;47-63&lt;/pages&gt;&lt;volume&gt;31&lt;/volume&gt;&lt;number&gt;1&lt;/number&gt;&lt;dates&gt;&lt;year&gt;2016&lt;/year&gt;&lt;/dates&gt;&lt;isbn&gt;0968-7599&lt;/isbn&gt;&lt;urls&gt;&lt;/urls&gt;&lt;/record&gt;&lt;/Cite&gt;&lt;/EndNote&gt;</w:instrText>
      </w:r>
      <w:r w:rsidRPr="00A04B09">
        <w:fldChar w:fldCharType="separate"/>
      </w:r>
      <w:r w:rsidRPr="00F26732">
        <w:t>(</w:t>
      </w:r>
      <w:hyperlink w:anchor="_ENREF_44" w:tooltip="Ottmann, 2016 #27" w:history="1">
        <w:r w:rsidRPr="00F26732">
          <w:t>Ottmann et al., 2016</w:t>
        </w:r>
      </w:hyperlink>
      <w:r w:rsidRPr="00F26732">
        <w:t>)</w:t>
      </w:r>
      <w:r w:rsidRPr="00A04B09">
        <w:fldChar w:fldCharType="end"/>
      </w:r>
      <w:r w:rsidRPr="00A04B09">
        <w:t xml:space="preserve"> and that young people are concerned about relationships, interactions with strangers and the implications of following or not following rules </w:t>
      </w:r>
      <w:r w:rsidRPr="00A04B09">
        <w:fldChar w:fldCharType="begin"/>
      </w:r>
      <w:r>
        <w:instrText xml:space="preserve"> ADDIN EN.CITE &lt;EndNote&gt;&lt;Cite&gt;&lt;Author&gt;Robinson&lt;/Author&gt;&lt;Year&gt;2015&lt;/Year&gt;&lt;RecNum&gt;28&lt;/RecNum&gt;&lt;DisplayText&gt;(Robinson, 2015a)&lt;/DisplayText&gt;&lt;record&gt;&lt;rec-number&gt;28&lt;/rec-number&gt;&lt;foreign-keys&gt;&lt;key app="EN" db-id="e2pvpettoe5ddver2zlpspd00avfvwwf99z5"&gt;28&lt;/key&gt;&lt;/foreign-keys&gt;&lt;ref-type name="Report"&gt;27&lt;/ref-type&gt;&lt;contributors&gt;&lt;authors&gt;&lt;author&gt;Robinson, S.&lt;/author&gt;&lt;/authors&gt;&lt;/contributors&gt;&lt;titles&gt;&lt;title&gt;Feeling Safe, Being Safe: What is important to children and young people with disability and high support needs about safety in institutional settings? &lt;/title&gt;&lt;/titles&gt;&lt;dates&gt;&lt;year&gt;2015&lt;/year&gt;&lt;/dates&gt;&lt;pub-location&gt;Sydney&lt;/pub-location&gt;&lt;publisher&gt;Royal Commission into Institutional Responses to Child Sexual Abuse&lt;/publisher&gt;&lt;urls&gt;&lt;/urls&gt;&lt;/record&gt;&lt;/Cite&gt;&lt;/EndNote&gt;</w:instrText>
      </w:r>
      <w:r w:rsidRPr="00A04B09">
        <w:fldChar w:fldCharType="separate"/>
      </w:r>
      <w:r w:rsidRPr="00F26732">
        <w:t>(</w:t>
      </w:r>
      <w:hyperlink w:anchor="_ENREF_50" w:tooltip="Robinson, 2015 #28" w:history="1">
        <w:r w:rsidRPr="00F26732">
          <w:t>Robinson, 2015a</w:t>
        </w:r>
      </w:hyperlink>
      <w:r w:rsidRPr="00F26732">
        <w:t>)</w:t>
      </w:r>
      <w:r w:rsidRPr="00A04B09">
        <w:fldChar w:fldCharType="end"/>
      </w:r>
      <w:r w:rsidRPr="00A04B09">
        <w:t>. These studies extend to policy implicati</w:t>
      </w:r>
      <w:r>
        <w:t>ons for how to support decision-</w:t>
      </w:r>
      <w:r w:rsidRPr="00A04B09">
        <w:t xml:space="preserve">making, including acknowledging the role of tailored and innovative methods to </w:t>
      </w:r>
      <w:r>
        <w:t>enable discussion of safeguarding issues</w:t>
      </w:r>
      <w:r w:rsidRPr="00A04B09">
        <w:t xml:space="preserve"> </w:t>
      </w:r>
      <w:r w:rsidRPr="00A04B09">
        <w:fldChar w:fldCharType="begin"/>
      </w:r>
      <w:r>
        <w:instrText xml:space="preserve"> ADDIN EN.CITE &lt;EndNote&gt;&lt;Cite&gt;&lt;Author&gt;Robinson&lt;/Author&gt;&lt;Year&gt;2015&lt;/Year&gt;&lt;RecNum&gt;28&lt;/RecNum&gt;&lt;DisplayText&gt;(Robinson, 2015a)&lt;/DisplayText&gt;&lt;record&gt;&lt;rec-number&gt;28&lt;/rec-number&gt;&lt;foreign-keys&gt;&lt;key app="EN" db-id="e2pvpettoe5ddver2zlpspd00avfvwwf99z5"&gt;28&lt;/key&gt;&lt;/foreign-keys&gt;&lt;ref-type name="Report"&gt;27&lt;/ref-type&gt;&lt;contributors&gt;&lt;authors&gt;&lt;author&gt;Robinson, S.&lt;/author&gt;&lt;/authors&gt;&lt;/contributors&gt;&lt;titles&gt;&lt;title&gt;Feeling Safe, Being Safe: What is important to children and young people with disability and high support needs about safety in institutional settings? &lt;/title&gt;&lt;/titles&gt;&lt;dates&gt;&lt;year&gt;2015&lt;/year&gt;&lt;/dates&gt;&lt;pub-location&gt;Sydney&lt;/pub-location&gt;&lt;publisher&gt;Royal Commission into Institutional Responses to Child Sexual Abuse&lt;/publisher&gt;&lt;urls&gt;&lt;/urls&gt;&lt;/record&gt;&lt;/Cite&gt;&lt;/EndNote&gt;</w:instrText>
      </w:r>
      <w:r w:rsidRPr="00A04B09">
        <w:fldChar w:fldCharType="separate"/>
      </w:r>
      <w:r w:rsidRPr="00F26732">
        <w:t>(</w:t>
      </w:r>
      <w:hyperlink w:anchor="_ENREF_50" w:tooltip="Robinson, 2015 #28" w:history="1">
        <w:r w:rsidRPr="00F26732">
          <w:t>Robinson, 2015a</w:t>
        </w:r>
      </w:hyperlink>
      <w:r w:rsidRPr="00F26732">
        <w:t>)</w:t>
      </w:r>
      <w:r w:rsidRPr="00A04B09">
        <w:fldChar w:fldCharType="end"/>
      </w:r>
      <w:r w:rsidRPr="00A04B09">
        <w:t xml:space="preserve"> and acknowledging the key role of trusted supporters</w:t>
      </w:r>
      <w:r>
        <w:t xml:space="preserve"> in capacity building for decision-making</w:t>
      </w:r>
      <w:r w:rsidRPr="00A04B09">
        <w:t xml:space="preserve"> </w:t>
      </w:r>
      <w:r w:rsidRPr="00A04B09">
        <w:fldChar w:fldCharType="begin"/>
      </w:r>
      <w:r>
        <w:instrText xml:space="preserve"> ADDIN EN.CITE &lt;EndNote&gt;&lt;Cite&gt;&lt;Author&gt;Ottmann&lt;/Author&gt;&lt;Year&gt;2016&lt;/Year&gt;&lt;RecNum&gt;27&lt;/RecNum&gt;&lt;DisplayText&gt;(Ottmann et al., 2016)&lt;/DisplayText&gt;&lt;record&gt;&lt;rec-number&gt;27&lt;/rec-number&gt;&lt;foreign-keys&gt;&lt;key app="EN" db-id="e2pvpettoe5ddver2zlpspd00avfvwwf99z5"&gt;27&lt;/key&gt;&lt;/foreign-keys&gt;&lt;ref-type name="Journal Article"&gt;17&lt;/ref-type&gt;&lt;contributors&gt;&lt;authors&gt;&lt;author&gt;Ottmann, Goetz&lt;/author&gt;&lt;author&gt;McVilly, Keith&lt;/author&gt;&lt;author&gt;Maragoudaki, Margarita&lt;/author&gt;&lt;/authors&gt;&lt;/contributors&gt;&lt;titles&gt;&lt;title&gt;‘I walk from trouble’: exploring safeguards with adults with intellectual disabilities–an Australian qualitative study&lt;/title&gt;&lt;secondary-title&gt;Disability &amp;amp; Society&lt;/secondary-title&gt;&lt;/titles&gt;&lt;periodical&gt;&lt;full-title&gt;Disability &amp;amp; Society&lt;/full-title&gt;&lt;/periodical&gt;&lt;pages&gt;47-63&lt;/pages&gt;&lt;volume&gt;31&lt;/volume&gt;&lt;number&gt;1&lt;/number&gt;&lt;dates&gt;&lt;year&gt;2016&lt;/year&gt;&lt;/dates&gt;&lt;isbn&gt;0968-7599&lt;/isbn&gt;&lt;urls&gt;&lt;/urls&gt;&lt;/record&gt;&lt;/Cite&gt;&lt;/EndNote&gt;</w:instrText>
      </w:r>
      <w:r w:rsidRPr="00A04B09">
        <w:fldChar w:fldCharType="separate"/>
      </w:r>
      <w:r w:rsidRPr="00F26732">
        <w:t>(</w:t>
      </w:r>
      <w:hyperlink w:anchor="_ENREF_44" w:tooltip="Ottmann, 2016 #27" w:history="1">
        <w:r w:rsidRPr="00F26732">
          <w:t>Ottmann et al., 2016</w:t>
        </w:r>
      </w:hyperlink>
      <w:r w:rsidRPr="00F26732">
        <w:t>)</w:t>
      </w:r>
      <w:r w:rsidRPr="00A04B09">
        <w:fldChar w:fldCharType="end"/>
      </w:r>
      <w:r w:rsidRPr="00A04B09">
        <w:t>.</w:t>
      </w:r>
    </w:p>
    <w:p w14:paraId="3459A749" w14:textId="77777777" w:rsidR="00F26732" w:rsidRDefault="00F26732" w:rsidP="00F26732">
      <w:pPr>
        <w:numPr>
          <w:ilvl w:val="0"/>
          <w:numId w:val="15"/>
        </w:numPr>
      </w:pPr>
      <w:r>
        <w:t xml:space="preserve">Without examining the issue in detail, a few academic studies have also noted that some groups of people with disability, particularly intellectual disability, may be at a disadvantage in seeking support for decisions about promoting personal safety and preventing harm. This includes people with limited social support, as given the key role of trusted supporters discussed earlier, those people who do not have such connections lack a key source of support </w:t>
      </w:r>
      <w:r>
        <w:fldChar w:fldCharType="begin"/>
      </w:r>
      <w:r>
        <w:instrText xml:space="preserve"> ADDIN EN.CITE &lt;EndNote&gt;&lt;Cite&gt;&lt;Author&gt;Ottmann&lt;/Author&gt;&lt;Year&gt;2016&lt;/Year&gt;&lt;RecNum&gt;27&lt;/RecNum&gt;&lt;DisplayText&gt;(Ottmann et al., 2016)&lt;/DisplayText&gt;&lt;record&gt;&lt;rec-number&gt;27&lt;/rec-number&gt;&lt;foreign-keys&gt;&lt;key app="EN" db-id="e2pvpettoe5ddver2zlpspd00avfvwwf99z5"&gt;27&lt;/key&gt;&lt;/foreign-keys&gt;&lt;ref-type name="Journal Article"&gt;17&lt;/ref-type&gt;&lt;contributors&gt;&lt;authors&gt;&lt;author&gt;Ottmann, Goetz&lt;/author&gt;&lt;author&gt;McVilly, Keith&lt;/author&gt;&lt;author&gt;Maragoudaki, Margarita&lt;/author&gt;&lt;/authors&gt;&lt;/contributors&gt;&lt;titles&gt;&lt;title&gt;‘I walk from trouble’: exploring safeguards with adults with intellectual disabilities–an Australian qualitative study&lt;/title&gt;&lt;secondary-title&gt;Disability &amp;amp; Society&lt;/secondary-title&gt;&lt;/titles&gt;&lt;periodical&gt;&lt;full-title&gt;Disability &amp;amp; Society&lt;/full-title&gt;&lt;/periodical&gt;&lt;pages&gt;47-63&lt;/pages&gt;&lt;volume&gt;31&lt;/volume&gt;&lt;number&gt;1&lt;/number&gt;&lt;dates&gt;&lt;year&gt;2016&lt;/year&gt;&lt;/dates&gt;&lt;isbn&gt;0968-7599&lt;/isbn&gt;&lt;urls&gt;&lt;/urls&gt;&lt;/record&gt;&lt;/Cite&gt;&lt;/EndNote&gt;</w:instrText>
      </w:r>
      <w:r>
        <w:fldChar w:fldCharType="separate"/>
      </w:r>
      <w:r w:rsidRPr="00F26732">
        <w:t>(</w:t>
      </w:r>
      <w:hyperlink w:anchor="_ENREF_44" w:tooltip="Ottmann, 2016 #27" w:history="1">
        <w:r w:rsidRPr="00F26732">
          <w:t>Ottmann et al., 2016</w:t>
        </w:r>
      </w:hyperlink>
      <w:r w:rsidRPr="00F26732">
        <w:t>)</w:t>
      </w:r>
      <w:r>
        <w:fldChar w:fldCharType="end"/>
      </w:r>
      <w:r>
        <w:t xml:space="preserve">. Further, people who are living in congregate residential accommodation may not be able to enact their decisions or strategies to keep safe and prevent harm if the conflict is with another resident, as they may be unable to stay away from them </w:t>
      </w:r>
      <w:r>
        <w:fldChar w:fldCharType="begin"/>
      </w:r>
      <w:r>
        <w:instrText xml:space="preserve"> ADDIN EN.CITE &lt;EndNote&gt;&lt;Cite&gt;&lt;Author&gt;Northway&lt;/Author&gt;&lt;Year&gt;2013&lt;/Year&gt;&lt;RecNum&gt;22&lt;/RecNum&gt;&lt;DisplayText&gt;(Northway et al., 2013a)&lt;/DisplayText&gt;&lt;record&gt;&lt;rec-number&gt;22&lt;/rec-number&gt;&lt;foreign-keys&gt;&lt;key app="EN" db-id="e2pvpettoe5ddver2zlpspd00avfvwwf99z5"&gt;22&lt;/key&gt;&lt;/foreign-keys&gt;&lt;ref-type name="Journal Article"&gt;17&lt;/ref-type&gt;&lt;contributors&gt;&lt;authors&gt;&lt;author&gt;Northway, Ruth&lt;/author&gt;&lt;author&gt;Bennett, Davey&lt;/author&gt;&lt;author&gt;Melsome, Mel&lt;/author&gt;&lt;author&gt;Flood, Samantha&lt;/author&gt;&lt;author&gt;Howarth, Joyce&lt;/author&gt;&lt;author&gt;Jones, Richard&lt;/author&gt;&lt;/authors&gt;&lt;/contributors&gt;&lt;titles&gt;&lt;title&gt;Keeping safe and providing support: a participatory survey about abuse and people with intellectual disabilities&lt;/title&gt;&lt;secondary-title&gt;Journal of Policy and Practice in Intellectual Disabilities&lt;/secondary-title&gt;&lt;/titles&gt;&lt;periodical&gt;&lt;full-title&gt;Journal of Policy and Practice in Intellectual Disabilities&lt;/full-title&gt;&lt;/periodical&gt;&lt;pages&gt;236-244&lt;/pages&gt;&lt;volume&gt;10&lt;/volume&gt;&lt;number&gt;3&lt;/number&gt;&lt;dates&gt;&lt;year&gt;2013&lt;/year&gt;&lt;/dates&gt;&lt;isbn&gt;1741-1130&lt;/isbn&gt;&lt;urls&gt;&lt;/urls&gt;&lt;/record&gt;&lt;/Cite&gt;&lt;/EndNote&gt;</w:instrText>
      </w:r>
      <w:r>
        <w:fldChar w:fldCharType="separate"/>
      </w:r>
      <w:r w:rsidRPr="00F26732">
        <w:t>(</w:t>
      </w:r>
      <w:hyperlink w:anchor="_ENREF_40" w:tooltip="Northway, 2013 #22" w:history="1">
        <w:r w:rsidRPr="00F26732">
          <w:t>Northway et al., 2013a</w:t>
        </w:r>
      </w:hyperlink>
      <w:r w:rsidRPr="00F26732">
        <w:t>)</w:t>
      </w:r>
      <w:r>
        <w:fldChar w:fldCharType="end"/>
      </w:r>
      <w:r>
        <w:t xml:space="preserve">, especially if movement, household management and/or staffing restrictions are in place. Notably however, while these issues have been raised in passing in the literature, they have not been thoroughly explored, nor have been the implications for providing support for decision-making. More conceptual work has however noted the need for cultural change in congregate residential accommodation toward taking a preventative approach to safeguarding, rather than a reactive response to individual cases of abuse </w:t>
      </w:r>
      <w:r>
        <w:fldChar w:fldCharType="begin"/>
      </w:r>
      <w:r>
        <w:instrText xml:space="preserve"> ADDIN EN.CITE &lt;EndNote&gt;&lt;Cite&gt;&lt;Author&gt;Robinson&lt;/Author&gt;&lt;Year&gt;2011&lt;/Year&gt;&lt;RecNum&gt;49&lt;/RecNum&gt;&lt;DisplayText&gt;(Robinson and Chenoweth, 2011)&lt;/DisplayText&gt;&lt;record&gt;&lt;rec-number&gt;49&lt;/rec-number&gt;&lt;foreign-keys&gt;&lt;key app="EN" db-id="e2pvpettoe5ddver2zlpspd00avfvwwf99z5"&gt;49&lt;/key&gt;&lt;/foreign-keys&gt;&lt;ref-type name="Journal Article"&gt;17&lt;/ref-type&gt;&lt;contributors&gt;&lt;authors&gt;&lt;author&gt;Robinson, Sally&lt;/author&gt;&lt;author&gt;Chenoweth, Lesley&lt;/author&gt;&lt;/authors&gt;&lt;/contributors&gt;&lt;titles&gt;&lt;title&gt;Preventing abuse in accommodation services: From procedural response to protective cultures&lt;/title&gt;&lt;secondary-title&gt;Journal of Intellectual Disabilities&lt;/secondary-title&gt;&lt;/titles&gt;&lt;periodical&gt;&lt;full-title&gt;Journal of Intellectual Disabilities&lt;/full-title&gt;&lt;/periodical&gt;&lt;pages&gt;63-74&lt;/pages&gt;&lt;volume&gt;15&lt;/volume&gt;&lt;number&gt;1&lt;/number&gt;&lt;dates&gt;&lt;year&gt;2011&lt;/year&gt;&lt;/dates&gt;&lt;isbn&gt;1744-6295&lt;/isbn&gt;&lt;urls&gt;&lt;/urls&gt;&lt;/record&gt;&lt;/Cite&gt;&lt;/EndNote&gt;</w:instrText>
      </w:r>
      <w:r>
        <w:fldChar w:fldCharType="separate"/>
      </w:r>
      <w:r w:rsidRPr="00F26732">
        <w:t>(</w:t>
      </w:r>
      <w:hyperlink w:anchor="_ENREF_52" w:tooltip="Robinson, 2011 #49" w:history="1">
        <w:r w:rsidRPr="00F26732">
          <w:t>Robinson and Chenoweth, 2011</w:t>
        </w:r>
      </w:hyperlink>
      <w:r w:rsidRPr="00F26732">
        <w:t>)</w:t>
      </w:r>
      <w:r>
        <w:fldChar w:fldCharType="end"/>
      </w:r>
      <w:r>
        <w:t>.</w:t>
      </w:r>
    </w:p>
    <w:p w14:paraId="6E737A27" w14:textId="77777777" w:rsidR="00F26732" w:rsidRDefault="00F26732" w:rsidP="00F26732">
      <w:pPr>
        <w:numPr>
          <w:ilvl w:val="0"/>
          <w:numId w:val="15"/>
        </w:numPr>
      </w:pPr>
      <w:r>
        <w:t xml:space="preserve">Notably however, the practice evidence is currently moving forward in this area and is beginning to fill in some of these gaps in the academic literature. In particular, there has been a focus on developing forms of decision-making support to people with disability living in congregate residential accommodation, including people living in group homes, boarding houses, out-of-home care and who are transitioning out of large residential centres (LRCs). Programs supporting these groups acknowledge a range of issues that make support for their decision-making particularly complex, including current transitional service and staffing arrangements in LRCs, limited family support, limited choice about living arrangements, entrenched cultural barriers often focusing on a medical approach to disability rather than empowerment, gaps in staff understandings of the </w:t>
      </w:r>
      <w:r>
        <w:lastRenderedPageBreak/>
        <w:t>complex communication preferences of some residents, lack of role models of personal decision-making and dispersal of support in some of the rural locations in which the congregate care is commonly located. In this context, the developing practice evidence suggests strategies for supporting decision-making of those living in congregate residential care, including:</w:t>
      </w:r>
    </w:p>
    <w:p w14:paraId="5F2213D1" w14:textId="77777777" w:rsidR="00F26732" w:rsidRDefault="00F26732" w:rsidP="00A76B83">
      <w:pPr>
        <w:pStyle w:val="ListBullet"/>
      </w:pPr>
      <w:r>
        <w:t xml:space="preserve">Observing and documenting information about individuals’ complex communication preferences, so that it can be better conveyed to new and future staff; </w:t>
      </w:r>
    </w:p>
    <w:p w14:paraId="395F1743" w14:textId="77777777" w:rsidR="00F26732" w:rsidRDefault="00F26732" w:rsidP="00A76B83">
      <w:pPr>
        <w:pStyle w:val="ListBullet"/>
      </w:pPr>
      <w:r>
        <w:t>Documenting knowledge of individual residents to aid transfer to new or future staff;</w:t>
      </w:r>
    </w:p>
    <w:p w14:paraId="100C331E" w14:textId="77777777" w:rsidR="00F26732" w:rsidRDefault="00F26732" w:rsidP="00A76B83">
      <w:pPr>
        <w:pStyle w:val="ListBullet"/>
      </w:pPr>
      <w:r>
        <w:t>Co-designing support with other people with disability;</w:t>
      </w:r>
    </w:p>
    <w:p w14:paraId="3F11CE34" w14:textId="77777777" w:rsidR="00F26732" w:rsidRPr="00F26732" w:rsidRDefault="00F26732" w:rsidP="00A76B83">
      <w:pPr>
        <w:pStyle w:val="ListBullet"/>
      </w:pPr>
      <w:r>
        <w:t>Drawing in other people with</w:t>
      </w:r>
      <w:r w:rsidRPr="00F26732">
        <w:t xml:space="preserve"> disability, particularly intellectual disability, as peer mentors who can model empowerment;</w:t>
      </w:r>
    </w:p>
    <w:p w14:paraId="29208599" w14:textId="77777777" w:rsidR="00F26732" w:rsidRDefault="00F26732" w:rsidP="00A76B83">
      <w:pPr>
        <w:pStyle w:val="ListBullet"/>
      </w:pPr>
      <w:r>
        <w:t xml:space="preserve">Building in appropriate time to develop trust between decision-making support program staff and residents; </w:t>
      </w:r>
    </w:p>
    <w:p w14:paraId="5FB1F6DA" w14:textId="77777777" w:rsidR="00F26732" w:rsidRDefault="00F26732" w:rsidP="00A76B83">
      <w:pPr>
        <w:pStyle w:val="ListBullet"/>
      </w:pPr>
      <w:r>
        <w:t>Running decision-making support programs in familiar settings, including the group homes and LRCs;</w:t>
      </w:r>
    </w:p>
    <w:p w14:paraId="4957F2D8" w14:textId="77777777" w:rsidR="00F26732" w:rsidRDefault="00F26732" w:rsidP="00A76B83">
      <w:pPr>
        <w:pStyle w:val="ListBullet"/>
      </w:pPr>
      <w:r>
        <w:t>Facilitating contact with other community members beyond only paid staff;</w:t>
      </w:r>
    </w:p>
    <w:p w14:paraId="4E0C26A7" w14:textId="77777777" w:rsidR="00F26732" w:rsidRPr="00F26732" w:rsidRDefault="00F26732" w:rsidP="00A76B83">
      <w:pPr>
        <w:pStyle w:val="ListBullet"/>
      </w:pPr>
      <w:r>
        <w:t xml:space="preserve">Acknowledging and sensitively managing any tensions with the management of the residential accommodation and providing education and training for management and staff, where required. </w:t>
      </w:r>
    </w:p>
    <w:p w14:paraId="4333BADF" w14:textId="77777777" w:rsidR="00F26732" w:rsidRDefault="00F26732" w:rsidP="00F26732">
      <w:pPr>
        <w:numPr>
          <w:ilvl w:val="0"/>
          <w:numId w:val="15"/>
        </w:numPr>
      </w:pPr>
      <w:r>
        <w:t xml:space="preserve">Further, the practice evidence also highlights the experiences of some other specific groups. For example, it suggests that decision-making support to Indigenous people with disability should be trauma-informed, Indigenous-run, establish trust over time, use agreed language and concepts and prioritise interactions with family and kinship caregivers and group learning. In another example, the practice evidence focuses on decision-making support to people with high support needs, highlighting that it is appropriate to have multiple supporters who together give a holistic understanding of a person and to observe and document the person’s communication strategies. </w:t>
      </w:r>
    </w:p>
    <w:p w14:paraId="3294CD90" w14:textId="77777777" w:rsidR="00F26732" w:rsidRDefault="00F26732" w:rsidP="00F26732">
      <w:pPr>
        <w:numPr>
          <w:ilvl w:val="0"/>
          <w:numId w:val="15"/>
        </w:numPr>
      </w:pPr>
      <w:r>
        <w:t xml:space="preserve">These considerations highlight that while support for decisions that promote safety and prevent harm will be increasingly relevant across a range of people with disability as the NDIS rolls out fully, some specific considerations are relevant for specific groups. While the academic literature has not so far reflected much about these groups’ experiences or support requirements, developments in the practice evidence highlight the importance of paying attention and catering to the context in which different groups of people with disability experience safeguarding concerns. </w:t>
      </w:r>
    </w:p>
    <w:p w14:paraId="119ECAE8" w14:textId="77777777" w:rsidR="00F26732" w:rsidRDefault="00F26732" w:rsidP="00F26732">
      <w:pPr>
        <w:numPr>
          <w:ilvl w:val="0"/>
          <w:numId w:val="15"/>
        </w:numPr>
      </w:pPr>
    </w:p>
    <w:p w14:paraId="13DAE599" w14:textId="77777777" w:rsidR="00F26732" w:rsidRPr="00E77686" w:rsidRDefault="00F26732" w:rsidP="00F26732">
      <w:pPr>
        <w:numPr>
          <w:ilvl w:val="0"/>
          <w:numId w:val="15"/>
        </w:numPr>
      </w:pPr>
      <w:r>
        <w:t xml:space="preserve"> </w:t>
      </w:r>
      <w:r w:rsidRPr="00E77686">
        <w:br w:type="page"/>
      </w:r>
    </w:p>
    <w:p w14:paraId="4FA6E4B7" w14:textId="77777777" w:rsidR="00F26732" w:rsidRPr="00F26732" w:rsidRDefault="00F26732" w:rsidP="00A76B83">
      <w:pPr>
        <w:pStyle w:val="Heading1"/>
      </w:pPr>
      <w:bookmarkStart w:id="14" w:name="_Toc478552502"/>
      <w:bookmarkStart w:id="15" w:name="_Toc480381290"/>
      <w:r w:rsidRPr="00F26732">
        <w:lastRenderedPageBreak/>
        <w:t>Implications for Skilled to Thrive action research project</w:t>
      </w:r>
      <w:bookmarkEnd w:id="14"/>
      <w:bookmarkEnd w:id="15"/>
    </w:p>
    <w:p w14:paraId="50A11AEB" w14:textId="77777777" w:rsidR="00F26732" w:rsidRPr="00F26732" w:rsidRDefault="00F26732" w:rsidP="00F26732">
      <w:pPr>
        <w:numPr>
          <w:ilvl w:val="0"/>
          <w:numId w:val="15"/>
        </w:numPr>
      </w:pPr>
      <w:r w:rsidRPr="00F26732">
        <w:t xml:space="preserve">This document details the findings of the literature and practice review undertaken to inform the approach of the Skilled to Thrive action research project. It has synthesised information from existing academic and practice evidence. Much of the academic and practice evidence is about people with intellectual disability specifically, although the findings may be applicable to a range of people with disability who require support for decisions about safeguarding. </w:t>
      </w:r>
    </w:p>
    <w:p w14:paraId="4F928C6D" w14:textId="77777777" w:rsidR="00F26732" w:rsidRDefault="00F26732" w:rsidP="00F26732">
      <w:pPr>
        <w:numPr>
          <w:ilvl w:val="0"/>
          <w:numId w:val="15"/>
        </w:numPr>
      </w:pPr>
      <w:r w:rsidRPr="00F26732">
        <w:t xml:space="preserve">Key implications for the Skilled to Thrive action research project, based on the findings of the review, are: </w:t>
      </w:r>
    </w:p>
    <w:tbl>
      <w:tblPr>
        <w:tblStyle w:val="GridTable2-Accent1"/>
        <w:tblW w:w="0" w:type="auto"/>
        <w:tblLook w:val="0480" w:firstRow="0" w:lastRow="0" w:firstColumn="1" w:lastColumn="0" w:noHBand="0" w:noVBand="1"/>
      </w:tblPr>
      <w:tblGrid>
        <w:gridCol w:w="400"/>
        <w:gridCol w:w="2903"/>
        <w:gridCol w:w="6335"/>
      </w:tblGrid>
      <w:tr w:rsidR="00534A20" w14:paraId="4AC3A22B" w14:textId="77777777" w:rsidTr="00534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tcBorders>
              <w:left w:val="nil"/>
              <w:bottom w:val="nil"/>
              <w:right w:val="nil"/>
            </w:tcBorders>
          </w:tcPr>
          <w:p w14:paraId="44221062" w14:textId="77777777" w:rsidR="007754E3" w:rsidRPr="00534A20" w:rsidRDefault="007754E3" w:rsidP="007754E3">
            <w:pPr>
              <w:numPr>
                <w:ilvl w:val="0"/>
                <w:numId w:val="15"/>
              </w:numPr>
              <w:spacing w:beforeLines="60" w:before="144" w:afterLines="60" w:after="144"/>
              <w:rPr>
                <w:b w:val="0"/>
              </w:rPr>
            </w:pPr>
            <w:r w:rsidRPr="00534A20">
              <w:t>1.</w:t>
            </w:r>
          </w:p>
        </w:tc>
        <w:tc>
          <w:tcPr>
            <w:tcW w:w="2912" w:type="dxa"/>
            <w:tcBorders>
              <w:left w:val="nil"/>
              <w:bottom w:val="nil"/>
              <w:right w:val="nil"/>
            </w:tcBorders>
          </w:tcPr>
          <w:p w14:paraId="69DB50D2" w14:textId="77777777" w:rsidR="007754E3" w:rsidRPr="00534A20" w:rsidRDefault="007754E3" w:rsidP="007754E3">
            <w:pPr>
              <w:numPr>
                <w:ilvl w:val="0"/>
                <w:numId w:val="15"/>
              </w:numPr>
              <w:spacing w:beforeLines="60" w:before="144" w:afterLines="60" w:after="144"/>
              <w:cnfStyle w:val="000000100000" w:firstRow="0" w:lastRow="0" w:firstColumn="0" w:lastColumn="0" w:oddVBand="0" w:evenVBand="0" w:oddHBand="1" w:evenHBand="0" w:firstRowFirstColumn="0" w:firstRowLastColumn="0" w:lastRowFirstColumn="0" w:lastRowLastColumn="0"/>
              <w:rPr>
                <w:b/>
              </w:rPr>
            </w:pPr>
            <w:r w:rsidRPr="00534A20">
              <w:rPr>
                <w:b/>
              </w:rPr>
              <w:t>Empowerment approach to promoting personal safety and preventing harm</w:t>
            </w:r>
          </w:p>
        </w:tc>
        <w:tc>
          <w:tcPr>
            <w:tcW w:w="6377" w:type="dxa"/>
            <w:tcBorders>
              <w:left w:val="nil"/>
              <w:bottom w:val="nil"/>
            </w:tcBorders>
          </w:tcPr>
          <w:p w14:paraId="1DB88499" w14:textId="77777777" w:rsidR="007754E3" w:rsidRPr="007754E3" w:rsidRDefault="007754E3" w:rsidP="007754E3">
            <w:pPr>
              <w:numPr>
                <w:ilvl w:val="0"/>
                <w:numId w:val="15"/>
              </w:numPr>
              <w:spacing w:beforeLines="60" w:before="144" w:afterLines="60" w:after="144"/>
              <w:cnfStyle w:val="000000100000" w:firstRow="0" w:lastRow="0" w:firstColumn="0" w:lastColumn="0" w:oddVBand="0" w:evenVBand="0" w:oddHBand="1" w:evenHBand="0" w:firstRowFirstColumn="0" w:firstRowLastColumn="0" w:lastRowFirstColumn="0" w:lastRowLastColumn="0"/>
            </w:pPr>
            <w:r w:rsidRPr="007754E3">
              <w:t>The review has highlighted a range of promising practices that are based in empowerment, strengths-based and values-driven approaches. Together these approaches support people with disability to understand that they are active agents in small and large decisions affecting their own lives and that they have rights and responsibilities and can develop their identities, decision-making skills and support-seeking skills to inc</w:t>
            </w:r>
            <w:r>
              <w:t>rease their choice and control.</w:t>
            </w:r>
          </w:p>
        </w:tc>
      </w:tr>
      <w:tr w:rsidR="00534A20" w14:paraId="52FDB485" w14:textId="77777777" w:rsidTr="00534A20">
        <w:tc>
          <w:tcPr>
            <w:cnfStyle w:val="001000000000" w:firstRow="0" w:lastRow="0" w:firstColumn="1" w:lastColumn="0" w:oddVBand="0" w:evenVBand="0" w:oddHBand="0" w:evenHBand="0" w:firstRowFirstColumn="0" w:firstRowLastColumn="0" w:lastRowFirstColumn="0" w:lastRowLastColumn="0"/>
            <w:tcW w:w="349" w:type="dxa"/>
            <w:tcBorders>
              <w:top w:val="nil"/>
              <w:left w:val="nil"/>
              <w:bottom w:val="nil"/>
              <w:right w:val="nil"/>
            </w:tcBorders>
          </w:tcPr>
          <w:p w14:paraId="4E313B7D" w14:textId="77777777" w:rsidR="007754E3" w:rsidRPr="007754E3" w:rsidRDefault="007754E3" w:rsidP="007754E3">
            <w:pPr>
              <w:numPr>
                <w:ilvl w:val="0"/>
                <w:numId w:val="15"/>
              </w:numPr>
              <w:spacing w:beforeLines="60" w:before="144" w:afterLines="60" w:after="144"/>
              <w:rPr>
                <w:b w:val="0"/>
              </w:rPr>
            </w:pPr>
            <w:r>
              <w:t>2.</w:t>
            </w:r>
          </w:p>
        </w:tc>
        <w:tc>
          <w:tcPr>
            <w:tcW w:w="2912" w:type="dxa"/>
            <w:tcBorders>
              <w:top w:val="nil"/>
              <w:left w:val="nil"/>
              <w:bottom w:val="nil"/>
              <w:right w:val="nil"/>
            </w:tcBorders>
          </w:tcPr>
          <w:p w14:paraId="51C40B84" w14:textId="77777777" w:rsidR="007754E3" w:rsidRPr="007754E3" w:rsidRDefault="007754E3" w:rsidP="007754E3">
            <w:pPr>
              <w:numPr>
                <w:ilvl w:val="0"/>
                <w:numId w:val="15"/>
              </w:numPr>
              <w:spacing w:beforeLines="60" w:before="144" w:afterLines="60" w:after="144"/>
              <w:cnfStyle w:val="000000000000" w:firstRow="0" w:lastRow="0" w:firstColumn="0" w:lastColumn="0" w:oddVBand="0" w:evenVBand="0" w:oddHBand="0" w:evenHBand="0" w:firstRowFirstColumn="0" w:firstRowLastColumn="0" w:lastRowFirstColumn="0" w:lastRowLastColumn="0"/>
              <w:rPr>
                <w:b/>
              </w:rPr>
            </w:pPr>
            <w:r w:rsidRPr="007754E3">
              <w:rPr>
                <w:b/>
              </w:rPr>
              <w:t>Strengths-based and values-driven approach to promoting personal safety and preventing harm</w:t>
            </w:r>
          </w:p>
        </w:tc>
        <w:tc>
          <w:tcPr>
            <w:tcW w:w="6377" w:type="dxa"/>
            <w:tcBorders>
              <w:top w:val="nil"/>
              <w:left w:val="nil"/>
              <w:bottom w:val="nil"/>
              <w:right w:val="nil"/>
            </w:tcBorders>
          </w:tcPr>
          <w:p w14:paraId="68FAB060" w14:textId="77777777" w:rsidR="007754E3" w:rsidRPr="007754E3" w:rsidRDefault="007754E3" w:rsidP="007754E3">
            <w:pPr>
              <w:numPr>
                <w:ilvl w:val="0"/>
                <w:numId w:val="15"/>
              </w:num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7754E3">
              <w:t xml:space="preserve">For decision support in situations of heightened instability, risk and vulnerability, the review highlights the tension between maintaining personal congruence in decision-making while finding acceptable safeguarding solutions. </w:t>
            </w:r>
          </w:p>
          <w:p w14:paraId="744D4284" w14:textId="77777777" w:rsidR="007754E3" w:rsidRDefault="007754E3" w:rsidP="007754E3">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7754E3">
              <w:t>The implication is that the Skilled to Thrive action research project will need to consider ways to uncover empowerment, strengths and values that can anchor individual people and be carried forward through situations of pressure and adversity; can be used to support time-limited decision-making; and may be used in future decision-making that promotes safety and prevents harm.</w:t>
            </w:r>
          </w:p>
        </w:tc>
      </w:tr>
      <w:tr w:rsidR="00534A20" w14:paraId="7AC924F2" w14:textId="77777777" w:rsidTr="00534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tcBorders>
              <w:top w:val="nil"/>
              <w:left w:val="nil"/>
              <w:bottom w:val="nil"/>
              <w:right w:val="nil"/>
            </w:tcBorders>
          </w:tcPr>
          <w:p w14:paraId="6A0321D0" w14:textId="77777777" w:rsidR="007754E3" w:rsidRPr="007754E3" w:rsidRDefault="007754E3" w:rsidP="007754E3">
            <w:pPr>
              <w:numPr>
                <w:ilvl w:val="0"/>
                <w:numId w:val="15"/>
              </w:numPr>
              <w:spacing w:beforeLines="60" w:before="144" w:afterLines="60" w:after="144"/>
              <w:rPr>
                <w:b w:val="0"/>
              </w:rPr>
            </w:pPr>
            <w:r>
              <w:t>3.</w:t>
            </w:r>
          </w:p>
        </w:tc>
        <w:tc>
          <w:tcPr>
            <w:tcW w:w="2912" w:type="dxa"/>
            <w:tcBorders>
              <w:top w:val="nil"/>
              <w:left w:val="nil"/>
              <w:bottom w:val="nil"/>
              <w:right w:val="nil"/>
            </w:tcBorders>
          </w:tcPr>
          <w:p w14:paraId="15351E0E" w14:textId="77777777" w:rsidR="007754E3" w:rsidRPr="007754E3" w:rsidRDefault="007754E3" w:rsidP="007754E3">
            <w:pPr>
              <w:numPr>
                <w:ilvl w:val="0"/>
                <w:numId w:val="15"/>
              </w:numPr>
              <w:spacing w:beforeLines="60" w:before="144" w:afterLines="60" w:after="144"/>
              <w:cnfStyle w:val="000000100000" w:firstRow="0" w:lastRow="0" w:firstColumn="0" w:lastColumn="0" w:oddVBand="0" w:evenVBand="0" w:oddHBand="1" w:evenHBand="0" w:firstRowFirstColumn="0" w:firstRowLastColumn="0" w:lastRowFirstColumn="0" w:lastRowLastColumn="0"/>
              <w:rPr>
                <w:b/>
              </w:rPr>
            </w:pPr>
            <w:r w:rsidRPr="007754E3">
              <w:rPr>
                <w:b/>
              </w:rPr>
              <w:t>Allowing time for development of self-determination to accomplish real-life, proactive change</w:t>
            </w:r>
          </w:p>
        </w:tc>
        <w:tc>
          <w:tcPr>
            <w:tcW w:w="6377" w:type="dxa"/>
            <w:tcBorders>
              <w:top w:val="nil"/>
              <w:left w:val="nil"/>
              <w:bottom w:val="nil"/>
              <w:right w:val="nil"/>
            </w:tcBorders>
          </w:tcPr>
          <w:p w14:paraId="31CEAB5F" w14:textId="77777777" w:rsidR="007754E3" w:rsidRPr="007754E3" w:rsidRDefault="007754E3" w:rsidP="007754E3">
            <w:pPr>
              <w:numPr>
                <w:ilvl w:val="0"/>
                <w:numId w:val="15"/>
              </w:numPr>
              <w:spacing w:beforeLines="60" w:before="144" w:afterLines="60" w:after="144"/>
              <w:cnfStyle w:val="000000100000" w:firstRow="0" w:lastRow="0" w:firstColumn="0" w:lastColumn="0" w:oddVBand="0" w:evenVBand="0" w:oddHBand="1" w:evenHBand="0" w:firstRowFirstColumn="0" w:firstRowLastColumn="0" w:lastRowFirstColumn="0" w:lastRowLastColumn="0"/>
            </w:pPr>
            <w:r w:rsidRPr="007754E3">
              <w:t xml:space="preserve">The review found that support for decisions to promote personal safety and prevent harm needs to be sustained over an appropriate and often extended time period. </w:t>
            </w:r>
          </w:p>
          <w:p w14:paraId="60911C66" w14:textId="77777777" w:rsidR="007754E3" w:rsidRPr="007754E3" w:rsidRDefault="007754E3" w:rsidP="007754E3">
            <w:pPr>
              <w:numPr>
                <w:ilvl w:val="0"/>
                <w:numId w:val="15"/>
              </w:numPr>
              <w:spacing w:beforeLines="60" w:before="144" w:afterLines="60" w:after="144"/>
              <w:cnfStyle w:val="000000100000" w:firstRow="0" w:lastRow="0" w:firstColumn="0" w:lastColumn="0" w:oddVBand="0" w:evenVBand="0" w:oddHBand="1" w:evenHBand="0" w:firstRowFirstColumn="0" w:firstRowLastColumn="0" w:lastRowFirstColumn="0" w:lastRowLastColumn="0"/>
            </w:pPr>
            <w:r w:rsidRPr="007754E3">
              <w:t xml:space="preserve">The proposed Skilled to Thrive action research project will take place with advocacy agencies as project partners, over a 3-5 month action learning cycle. Participants may be drawn from a pool of people including those seeking assistance about imminent risk or who have recently experienced harm. In these cases, time pressures to provide an appropriate response and support may be significant or there may be a temptation to </w:t>
            </w:r>
            <w:r w:rsidRPr="007754E3">
              <w:lastRenderedPageBreak/>
              <w:t>attempt to condense decision support activities into a timeframe that is not adequate.</w:t>
            </w:r>
          </w:p>
          <w:p w14:paraId="39FB5A6F" w14:textId="77777777" w:rsidR="007754E3" w:rsidRDefault="007754E3" w:rsidP="007754E3">
            <w:pPr>
              <w:spacing w:beforeLines="60" w:before="144" w:afterLines="60" w:after="144"/>
              <w:cnfStyle w:val="000000100000" w:firstRow="0" w:lastRow="0" w:firstColumn="0" w:lastColumn="0" w:oddVBand="0" w:evenVBand="0" w:oddHBand="1" w:evenHBand="0" w:firstRowFirstColumn="0" w:firstRowLastColumn="0" w:lastRowFirstColumn="0" w:lastRowLastColumn="0"/>
            </w:pPr>
            <w:r w:rsidRPr="007754E3">
              <w:t>In this context, the Skilled to Thrive action research project may need to introduce a screening tool (if the partner organisations do not already use one) to ensure that people who are at greatest risk and may require immediate crisis intervention and advocacy support are able to receive  appropriate and timely supports. It is noted, however, that invitations can be extended for participation in project activities post-crisis that include follow-up recovery and capacity-building activities that promote future safety and prevent harm.</w:t>
            </w:r>
          </w:p>
        </w:tc>
      </w:tr>
      <w:tr w:rsidR="007754E3" w14:paraId="0C38B49A" w14:textId="77777777" w:rsidTr="00534A20">
        <w:tc>
          <w:tcPr>
            <w:cnfStyle w:val="001000000000" w:firstRow="0" w:lastRow="0" w:firstColumn="1" w:lastColumn="0" w:oddVBand="0" w:evenVBand="0" w:oddHBand="0" w:evenHBand="0" w:firstRowFirstColumn="0" w:firstRowLastColumn="0" w:lastRowFirstColumn="0" w:lastRowLastColumn="0"/>
            <w:tcW w:w="349" w:type="dxa"/>
            <w:tcBorders>
              <w:top w:val="nil"/>
              <w:bottom w:val="nil"/>
              <w:right w:val="nil"/>
            </w:tcBorders>
          </w:tcPr>
          <w:p w14:paraId="119B42D7" w14:textId="77777777" w:rsidR="007754E3" w:rsidRPr="007754E3" w:rsidRDefault="007754E3" w:rsidP="007754E3">
            <w:pPr>
              <w:numPr>
                <w:ilvl w:val="0"/>
                <w:numId w:val="15"/>
              </w:numPr>
              <w:spacing w:beforeLines="60" w:before="144" w:afterLines="60" w:after="144"/>
              <w:rPr>
                <w:b w:val="0"/>
              </w:rPr>
            </w:pPr>
            <w:r>
              <w:lastRenderedPageBreak/>
              <w:t>4.</w:t>
            </w:r>
          </w:p>
        </w:tc>
        <w:tc>
          <w:tcPr>
            <w:tcW w:w="2912" w:type="dxa"/>
            <w:tcBorders>
              <w:top w:val="nil"/>
              <w:left w:val="nil"/>
              <w:bottom w:val="nil"/>
              <w:right w:val="nil"/>
            </w:tcBorders>
          </w:tcPr>
          <w:p w14:paraId="0C5FED61" w14:textId="77777777" w:rsidR="007754E3" w:rsidRPr="007754E3" w:rsidRDefault="007754E3" w:rsidP="007754E3">
            <w:pPr>
              <w:numPr>
                <w:ilvl w:val="0"/>
                <w:numId w:val="15"/>
              </w:numPr>
              <w:spacing w:beforeLines="60" w:before="144" w:afterLines="60" w:after="144"/>
              <w:cnfStyle w:val="000000000000" w:firstRow="0" w:lastRow="0" w:firstColumn="0" w:lastColumn="0" w:oddVBand="0" w:evenVBand="0" w:oddHBand="0" w:evenHBand="0" w:firstRowFirstColumn="0" w:firstRowLastColumn="0" w:lastRowFirstColumn="0" w:lastRowLastColumn="0"/>
              <w:rPr>
                <w:b/>
              </w:rPr>
            </w:pPr>
            <w:r w:rsidRPr="007754E3">
              <w:rPr>
                <w:b/>
              </w:rPr>
              <w:t>Co-design and implementation by specific target groups</w:t>
            </w:r>
          </w:p>
        </w:tc>
        <w:tc>
          <w:tcPr>
            <w:tcW w:w="6377" w:type="dxa"/>
            <w:tcBorders>
              <w:top w:val="nil"/>
              <w:left w:val="nil"/>
              <w:bottom w:val="nil"/>
            </w:tcBorders>
          </w:tcPr>
          <w:p w14:paraId="5722495A" w14:textId="77777777" w:rsidR="007754E3" w:rsidRPr="007754E3" w:rsidRDefault="007754E3" w:rsidP="007754E3">
            <w:pPr>
              <w:numPr>
                <w:ilvl w:val="0"/>
                <w:numId w:val="15"/>
              </w:num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7754E3">
              <w:t xml:space="preserve">The review found that practices of co-design and implementation of programs by representatives of the specific target groups for decision support (e.g. Indigenous-led program for Indigenous people) enabled greater relevance in the development of concepts, language, activities and resources for supported decision-making, and increased the likelihood of sustainability of decision-making. </w:t>
            </w:r>
          </w:p>
          <w:p w14:paraId="5964D47D" w14:textId="77777777" w:rsidR="007754E3" w:rsidRDefault="007754E3" w:rsidP="007754E3">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7754E3">
              <w:t>Based on this insight, the Skilled to Thrive action research project may consider including co-design elements and/or targeted capacity-building group-work that can address positive risk enablement concerns and build organisational capacity to run programs into the future. This can provide intrinsic expertise to shape approaches to the project incorporating cultural strengths and attitudes. Approaches may include consultation, resource development and community linking, among many other possibilities.</w:t>
            </w:r>
          </w:p>
        </w:tc>
      </w:tr>
      <w:tr w:rsidR="00534A20" w14:paraId="3E270DE3" w14:textId="77777777" w:rsidTr="00534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tcBorders>
              <w:top w:val="nil"/>
              <w:bottom w:val="nil"/>
              <w:right w:val="nil"/>
            </w:tcBorders>
          </w:tcPr>
          <w:p w14:paraId="76752EB7" w14:textId="77777777" w:rsidR="007754E3" w:rsidRPr="007754E3" w:rsidRDefault="007754E3" w:rsidP="007754E3">
            <w:pPr>
              <w:numPr>
                <w:ilvl w:val="0"/>
                <w:numId w:val="15"/>
              </w:numPr>
              <w:spacing w:beforeLines="60" w:before="144" w:afterLines="60" w:after="144"/>
              <w:rPr>
                <w:b w:val="0"/>
              </w:rPr>
            </w:pPr>
            <w:r>
              <w:t>5.</w:t>
            </w:r>
          </w:p>
        </w:tc>
        <w:tc>
          <w:tcPr>
            <w:tcW w:w="2912" w:type="dxa"/>
            <w:tcBorders>
              <w:top w:val="nil"/>
              <w:left w:val="nil"/>
              <w:bottom w:val="nil"/>
              <w:right w:val="nil"/>
            </w:tcBorders>
          </w:tcPr>
          <w:p w14:paraId="088E1A38" w14:textId="77777777" w:rsidR="007754E3" w:rsidRPr="007754E3" w:rsidRDefault="007754E3" w:rsidP="007754E3">
            <w:pPr>
              <w:numPr>
                <w:ilvl w:val="0"/>
                <w:numId w:val="15"/>
              </w:numPr>
              <w:spacing w:beforeLines="60" w:before="144" w:afterLines="60" w:after="144"/>
              <w:cnfStyle w:val="000000100000" w:firstRow="0" w:lastRow="0" w:firstColumn="0" w:lastColumn="0" w:oddVBand="0" w:evenVBand="0" w:oddHBand="1" w:evenHBand="0" w:firstRowFirstColumn="0" w:firstRowLastColumn="0" w:lastRowFirstColumn="0" w:lastRowLastColumn="0"/>
              <w:rPr>
                <w:b/>
              </w:rPr>
            </w:pPr>
            <w:r w:rsidRPr="007754E3">
              <w:rPr>
                <w:b/>
              </w:rPr>
              <w:t>Individualised, group and peer learning opportunities, including mentoring</w:t>
            </w:r>
          </w:p>
        </w:tc>
        <w:tc>
          <w:tcPr>
            <w:tcW w:w="6377" w:type="dxa"/>
            <w:tcBorders>
              <w:top w:val="nil"/>
              <w:left w:val="nil"/>
              <w:bottom w:val="nil"/>
            </w:tcBorders>
          </w:tcPr>
          <w:p w14:paraId="4E909402" w14:textId="77777777" w:rsidR="007754E3" w:rsidRPr="007754E3" w:rsidRDefault="007754E3" w:rsidP="007754E3">
            <w:pPr>
              <w:numPr>
                <w:ilvl w:val="0"/>
                <w:numId w:val="15"/>
              </w:numPr>
              <w:spacing w:beforeLines="60" w:before="144" w:afterLines="60" w:after="144"/>
              <w:cnfStyle w:val="000000100000" w:firstRow="0" w:lastRow="0" w:firstColumn="0" w:lastColumn="0" w:oddVBand="0" w:evenVBand="0" w:oddHBand="1" w:evenHBand="0" w:firstRowFirstColumn="0" w:firstRowLastColumn="0" w:lastRowFirstColumn="0" w:lastRowLastColumn="0"/>
            </w:pPr>
            <w:r w:rsidRPr="007754E3">
              <w:t xml:space="preserve">The review highlighted that a mix of individualised work with people with disability and engagement with project workers, service staff and family members on decision and decision support development was productive. The review also highlighted productive opportunities for skilled facilitation and mentoring by peers who have been through decision support and risk enablement experiences. </w:t>
            </w:r>
          </w:p>
          <w:p w14:paraId="1B8AFD60" w14:textId="77777777" w:rsidR="007754E3" w:rsidRDefault="007754E3" w:rsidP="007754E3">
            <w:pPr>
              <w:spacing w:beforeLines="60" w:before="144" w:afterLines="60" w:after="144"/>
              <w:cnfStyle w:val="000000100000" w:firstRow="0" w:lastRow="0" w:firstColumn="0" w:lastColumn="0" w:oddVBand="0" w:evenVBand="0" w:oddHBand="1" w:evenHBand="0" w:firstRowFirstColumn="0" w:firstRowLastColumn="0" w:lastRowFirstColumn="0" w:lastRowLastColumn="0"/>
            </w:pPr>
            <w:r w:rsidRPr="007754E3">
              <w:t xml:space="preserve">Reflecting these learnings, the Skilled to Thrive action research project may consider using a range of individualised, group and peer learning opportunities. To do this, it may need to consider how individualised NDIS package funding (e.g. support coordination) or wider Information Linkages and Capacity Building (ILC) funded projects may be utilised to assist people with disability and those around them to navigate </w:t>
            </w:r>
            <w:r w:rsidRPr="007754E3">
              <w:lastRenderedPageBreak/>
              <w:t>blocks and barriers to self-determination in interpersonal relationships and service environments.</w:t>
            </w:r>
          </w:p>
        </w:tc>
      </w:tr>
      <w:tr w:rsidR="007754E3" w14:paraId="17E30634" w14:textId="77777777" w:rsidTr="00534A20">
        <w:tc>
          <w:tcPr>
            <w:cnfStyle w:val="001000000000" w:firstRow="0" w:lastRow="0" w:firstColumn="1" w:lastColumn="0" w:oddVBand="0" w:evenVBand="0" w:oddHBand="0" w:evenHBand="0" w:firstRowFirstColumn="0" w:firstRowLastColumn="0" w:lastRowFirstColumn="0" w:lastRowLastColumn="0"/>
            <w:tcW w:w="349" w:type="dxa"/>
            <w:tcBorders>
              <w:top w:val="nil"/>
              <w:left w:val="nil"/>
              <w:right w:val="nil"/>
            </w:tcBorders>
            <w:shd w:val="clear" w:color="auto" w:fill="auto"/>
          </w:tcPr>
          <w:p w14:paraId="7B4C9846" w14:textId="77777777" w:rsidR="007754E3" w:rsidRPr="007754E3" w:rsidRDefault="007754E3" w:rsidP="007754E3">
            <w:pPr>
              <w:numPr>
                <w:ilvl w:val="0"/>
                <w:numId w:val="15"/>
              </w:numPr>
              <w:spacing w:beforeLines="60" w:before="144" w:afterLines="60" w:after="144"/>
              <w:rPr>
                <w:b w:val="0"/>
              </w:rPr>
            </w:pPr>
            <w:r>
              <w:lastRenderedPageBreak/>
              <w:t>6.</w:t>
            </w:r>
          </w:p>
        </w:tc>
        <w:tc>
          <w:tcPr>
            <w:tcW w:w="2912" w:type="dxa"/>
            <w:tcBorders>
              <w:top w:val="nil"/>
              <w:left w:val="nil"/>
              <w:right w:val="nil"/>
            </w:tcBorders>
            <w:shd w:val="clear" w:color="auto" w:fill="auto"/>
          </w:tcPr>
          <w:p w14:paraId="447ABB54" w14:textId="77777777" w:rsidR="007754E3" w:rsidRPr="007754E3" w:rsidRDefault="007754E3" w:rsidP="007754E3">
            <w:pPr>
              <w:numPr>
                <w:ilvl w:val="0"/>
                <w:numId w:val="15"/>
              </w:numPr>
              <w:spacing w:beforeLines="60" w:before="144" w:afterLines="60" w:after="144"/>
              <w:cnfStyle w:val="000000000000" w:firstRow="0" w:lastRow="0" w:firstColumn="0" w:lastColumn="0" w:oddVBand="0" w:evenVBand="0" w:oddHBand="0" w:evenHBand="0" w:firstRowFirstColumn="0" w:firstRowLastColumn="0" w:lastRowFirstColumn="0" w:lastRowLastColumn="0"/>
              <w:rPr>
                <w:b/>
              </w:rPr>
            </w:pPr>
            <w:r w:rsidRPr="007754E3">
              <w:rPr>
                <w:b/>
              </w:rPr>
              <w:t>Communication, relationships and facilitation skill-building</w:t>
            </w:r>
          </w:p>
        </w:tc>
        <w:tc>
          <w:tcPr>
            <w:tcW w:w="6377" w:type="dxa"/>
            <w:tcBorders>
              <w:top w:val="nil"/>
              <w:left w:val="nil"/>
            </w:tcBorders>
            <w:shd w:val="clear" w:color="auto" w:fill="auto"/>
          </w:tcPr>
          <w:p w14:paraId="33714FC5" w14:textId="77777777" w:rsidR="007754E3" w:rsidRPr="007754E3" w:rsidRDefault="007754E3" w:rsidP="007754E3">
            <w:pPr>
              <w:numPr>
                <w:ilvl w:val="0"/>
                <w:numId w:val="15"/>
              </w:num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7754E3">
              <w:t>This review found that without work to address relationships, many decisions by people with disability, particularly intellectual disability, can remain unfulfilled. The practice review highlighted that the potential for clashes of interests in the implementation of decisions, especially when family members may have had responsibility for managing situations that have not turned out well in the past. However, it was unclear how practice has so far addressed supporter conflict of interest.</w:t>
            </w:r>
          </w:p>
          <w:p w14:paraId="1D0E12A2" w14:textId="77777777" w:rsidR="007754E3" w:rsidRPr="007754E3" w:rsidRDefault="007754E3" w:rsidP="007754E3">
            <w:pPr>
              <w:numPr>
                <w:ilvl w:val="0"/>
                <w:numId w:val="15"/>
              </w:num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7754E3">
              <w:t>In this context, the review highlighted that it is important to provide support to and expect capacity building from not only people with disability, but also the people around them, including family members, supported decision-making staff and a range of other service providers and informal supports. Sensitive facilitation, skill-building approaches, informal advocacy and sometimes formal advocacy may be required.</w:t>
            </w:r>
          </w:p>
          <w:p w14:paraId="3FED9111" w14:textId="77777777" w:rsidR="007754E3" w:rsidRDefault="007754E3" w:rsidP="007754E3">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7754E3">
              <w:t>In this context, it will be important for the Skilled to Thrive project to consider how best to work with the people around people with disability. This may include supporting partner organisations on the project to explore questions of core business through their participation in this project, and consider how they build on existing skills to address opportunities that may snowball as a result of a new support paradigm with choice, control and self-determination of people with disability at its centre. Given that practice is still developing in this area, it is a core area to which the project can contribute.</w:t>
            </w:r>
          </w:p>
        </w:tc>
      </w:tr>
    </w:tbl>
    <w:p w14:paraId="7B71C83D" w14:textId="77777777" w:rsidR="00F26732" w:rsidRPr="00E5330A" w:rsidRDefault="00F26732" w:rsidP="00F26732">
      <w:pPr>
        <w:numPr>
          <w:ilvl w:val="0"/>
          <w:numId w:val="15"/>
        </w:numPr>
      </w:pPr>
    </w:p>
    <w:p w14:paraId="571BB3B6" w14:textId="77777777" w:rsidR="007754E3" w:rsidRPr="007754E3" w:rsidRDefault="007754E3" w:rsidP="007754E3">
      <w:pPr>
        <w:pStyle w:val="Heading1"/>
      </w:pPr>
      <w:bookmarkStart w:id="16" w:name="_Toc480381291"/>
      <w:r w:rsidRPr="007754E3">
        <w:lastRenderedPageBreak/>
        <w:t>Conclusions</w:t>
      </w:r>
      <w:bookmarkEnd w:id="16"/>
    </w:p>
    <w:p w14:paraId="5CCA2827" w14:textId="77777777" w:rsidR="007754E3" w:rsidRPr="007754E3" w:rsidRDefault="007754E3" w:rsidP="007754E3">
      <w:pPr>
        <w:numPr>
          <w:ilvl w:val="0"/>
          <w:numId w:val="15"/>
        </w:numPr>
      </w:pPr>
      <w:r>
        <w:t xml:space="preserve">The review has drawn together academic and practice evidence to understand the </w:t>
      </w:r>
      <w:r w:rsidRPr="007754E3">
        <w:t>subjects about which decision-making support is required to promote personal safety and prevent harm; types of support that are useful and promising practices for delivery; key sources of support; and the experiences of different groups of people with disability. These focuses reflect the research questions highlighted in the preface of this paper.</w:t>
      </w:r>
    </w:p>
    <w:p w14:paraId="5273549B" w14:textId="77777777" w:rsidR="007754E3" w:rsidRPr="007754E3" w:rsidRDefault="007754E3" w:rsidP="007754E3">
      <w:pPr>
        <w:numPr>
          <w:ilvl w:val="0"/>
          <w:numId w:val="15"/>
        </w:numPr>
      </w:pPr>
      <w:r w:rsidRPr="007754E3">
        <w:t xml:space="preserve">Reflecting these focuses, key findings of the review are that: </w:t>
      </w:r>
    </w:p>
    <w:p w14:paraId="2D81A27D" w14:textId="77777777" w:rsidR="007754E3" w:rsidRPr="007754E3" w:rsidRDefault="007754E3" w:rsidP="007754E3">
      <w:pPr>
        <w:pStyle w:val="ListBullet"/>
      </w:pPr>
      <w:r>
        <w:t xml:space="preserve">People with disability require support with both promoting </w:t>
      </w:r>
      <w:r w:rsidRPr="007754E3">
        <w:t xml:space="preserve">personal safety and addressing or preventing harm, thus encompassing both proactive and reactive elements. Historically, most support has been reactive (responding to specific instances of abuse), although current supported decision-making programs appear to have a more proactive focus. There are however challenges in making clear connections between supported decision-making and personal safety agendas. </w:t>
      </w:r>
    </w:p>
    <w:p w14:paraId="614369A1" w14:textId="77777777" w:rsidR="007754E3" w:rsidRPr="007754E3" w:rsidRDefault="007754E3" w:rsidP="007754E3">
      <w:pPr>
        <w:pStyle w:val="ListBullet"/>
      </w:pPr>
      <w:r>
        <w:t>Practical-oriented, accessible and personalised types of support</w:t>
      </w:r>
      <w:r w:rsidRPr="007754E3">
        <w:t xml:space="preserve">, provided over an appropriate and often sustained or extended time period, appears to be appreciated by people with disability, and there are a range of promising practices for delivery. Capacity building for decision-making has been identified as an area where more work is required. </w:t>
      </w:r>
    </w:p>
    <w:p w14:paraId="7238259E" w14:textId="77777777" w:rsidR="007754E3" w:rsidRPr="007754E3" w:rsidRDefault="007754E3" w:rsidP="007754E3">
      <w:pPr>
        <w:pStyle w:val="ListBullet"/>
      </w:pPr>
      <w:r w:rsidRPr="0098292D">
        <w:t xml:space="preserve">There are support practices used in the </w:t>
      </w:r>
      <w:r w:rsidRPr="007754E3">
        <w:t>reviewed projects that point to continued development of a proactive, capacity-building culture, moving from substitute to supported decision-making as a broad, rights enabling tool. However, there are further opportunities to extend the range of investigation with a more specific safeguarding lens. This lens would recognise current or recent risk of harm and actual harm and explore how to prevent further harm by empowering people to take back control of their lives and move forward. It would represent a shift away from providing a protection-only response, which has been common to date.</w:t>
      </w:r>
    </w:p>
    <w:p w14:paraId="6F082052" w14:textId="77777777" w:rsidR="007754E3" w:rsidRPr="007754E3" w:rsidRDefault="007754E3" w:rsidP="007754E3">
      <w:pPr>
        <w:pStyle w:val="ListBullet"/>
      </w:pPr>
      <w:r>
        <w:t xml:space="preserve">Trusted supporters (often </w:t>
      </w:r>
      <w:r w:rsidRPr="007754E3">
        <w:t xml:space="preserve">family, friends and close support workers) are key sources of support, but also part of spectrum of support across the social structures of people with disability. People with disability can also sometimes draw support from their communities, services and wider society. Considering the interactions between different sources of support is important, as is managing clashes of interest between supporters and people with disability in the implementation of decisions and ensuring that supporters are also supported in their own right. </w:t>
      </w:r>
    </w:p>
    <w:p w14:paraId="25CCE8CB" w14:textId="77777777" w:rsidR="007754E3" w:rsidRPr="007754E3" w:rsidRDefault="007754E3" w:rsidP="007754E3">
      <w:pPr>
        <w:pStyle w:val="ListBullet"/>
      </w:pPr>
      <w:r w:rsidRPr="007754E3">
        <w:t xml:space="preserve">The specific needs of different groups of people with disability (e.g. Indigenous people, people living in congregate residential care or those who have few informal supports) have not generally been well-reflected in the academic literature, but are emerging as key and developing considerations in the practice evidence. The practice evidence suggests the importance of paying attention and catering to the very specific contexts in which different groups of people with disability experience safeguarding concerns. </w:t>
      </w:r>
    </w:p>
    <w:p w14:paraId="410B8917" w14:textId="77777777" w:rsidR="007754E3" w:rsidRPr="00115FC4" w:rsidRDefault="007754E3" w:rsidP="007754E3">
      <w:pPr>
        <w:numPr>
          <w:ilvl w:val="0"/>
          <w:numId w:val="15"/>
        </w:numPr>
      </w:pPr>
      <w:r>
        <w:t>Overall, this</w:t>
      </w:r>
      <w:r w:rsidRPr="00115FC4">
        <w:t xml:space="preserve"> review has established that there is limited, but developing, research and pra</w:t>
      </w:r>
      <w:r>
        <w:t xml:space="preserve">ctice evidence that establishes (1) </w:t>
      </w:r>
      <w:r w:rsidRPr="00115FC4">
        <w:t xml:space="preserve">what people with disability want with regard to support for decisions </w:t>
      </w:r>
      <w:r w:rsidRPr="00115FC4">
        <w:lastRenderedPageBreak/>
        <w:t xml:space="preserve">that promote personal safety and prevent harm; and </w:t>
      </w:r>
      <w:r>
        <w:t xml:space="preserve">(2) </w:t>
      </w:r>
      <w:r w:rsidRPr="00115FC4">
        <w:t xml:space="preserve">how to build </w:t>
      </w:r>
      <w:r>
        <w:t>the</w:t>
      </w:r>
      <w:r w:rsidRPr="00115FC4">
        <w:t xml:space="preserve"> understanding </w:t>
      </w:r>
      <w:r>
        <w:t xml:space="preserve">of people with disability, particularly intellectual disability, </w:t>
      </w:r>
      <w:r w:rsidRPr="00115FC4">
        <w:t xml:space="preserve">of what knowledge is needed to live full, safe lives. </w:t>
      </w:r>
    </w:p>
    <w:p w14:paraId="72970CEC" w14:textId="77777777" w:rsidR="007754E3" w:rsidRDefault="007754E3" w:rsidP="007754E3">
      <w:pPr>
        <w:numPr>
          <w:ilvl w:val="0"/>
          <w:numId w:val="15"/>
        </w:numPr>
      </w:pPr>
      <w:r w:rsidRPr="00115FC4">
        <w:t>From the available literature and practice evidence, some key tensions emerge which are critical for NDIS contexts. For some people with disability, support provided may not best match what they perceive that they need</w:t>
      </w:r>
      <w:r>
        <w:t xml:space="preserve">. </w:t>
      </w:r>
      <w:r w:rsidRPr="00115FC4">
        <w:t>Planning processes may not respond to the safety priorities of people with disability or their families, particularly if they challenge existing structures or have resource implications</w:t>
      </w:r>
      <w:r>
        <w:t xml:space="preserve"> </w:t>
      </w:r>
      <w:r>
        <w:fldChar w:fldCharType="begin">
          <w:fldData xml:space="preserve">PEVuZE5vdGU+PENpdGU+PEF1dGhvcj5Ob3J0aHdheTwvQXV0aG9yPjxZZWFyPjIwMTM8L1llYXI+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</w:fldData>
        </w:fldChar>
      </w:r>
      <w:r>
        <w:instrText xml:space="preserve"> ADDIN EN.CITE </w:instrText>
      </w:r>
      <w:r>
        <w:fldChar w:fldCharType="begin">
          <w:fldData xml:space="preserve">PEVuZE5vdGU+PENpdGU+PEF1dGhvcj5Ob3J0aHdheTwvQXV0aG9yPjxZZWFyPjIwMTM8L1llYXI+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</w:fldData>
        </w:fldChar>
      </w:r>
      <w:r>
        <w:instrText xml:space="preserve"> ADDIN EN.CITE.DATA </w:instrText>
      </w:r>
      <w:r>
        <w:fldChar w:fldCharType="end"/>
      </w:r>
      <w:r>
        <w:fldChar w:fldCharType="separate"/>
      </w:r>
      <w:r w:rsidRPr="007754E3">
        <w:t>(</w:t>
      </w:r>
      <w:hyperlink w:anchor="_ENREF_40" w:tooltip="Northway, 2013 #22" w:history="1">
        <w:r w:rsidRPr="007754E3">
          <w:t>Northway et al., 2013a</w:t>
        </w:r>
      </w:hyperlink>
      <w:r w:rsidRPr="007754E3">
        <w:t xml:space="preserve">, </w:t>
      </w:r>
      <w:hyperlink w:anchor="_ENREF_43" w:tooltip="Ottmann, 2015 #6" w:history="1">
        <w:r w:rsidRPr="007754E3">
          <w:t>Ottmann et al., 2015</w:t>
        </w:r>
      </w:hyperlink>
      <w:r w:rsidRPr="007754E3">
        <w:t xml:space="preserve">, </w:t>
      </w:r>
      <w:hyperlink w:anchor="_ENREF_49" w:tooltip="Robinson, 2014 #50" w:history="1">
        <w:r w:rsidRPr="007754E3">
          <w:t>Robinson, 2014</w:t>
        </w:r>
      </w:hyperlink>
      <w:r w:rsidRPr="007754E3">
        <w:t xml:space="preserve">, </w:t>
      </w:r>
      <w:hyperlink w:anchor="_ENREF_51" w:tooltip="Robinson, 2015 #1" w:history="1">
        <w:r w:rsidRPr="007754E3">
          <w:t>Robinson, 2015b</w:t>
        </w:r>
      </w:hyperlink>
      <w:r w:rsidRPr="007754E3">
        <w:t>)</w:t>
      </w:r>
      <w:r>
        <w:fldChar w:fldCharType="end"/>
      </w:r>
      <w:r w:rsidRPr="00115FC4">
        <w:t xml:space="preserve">. </w:t>
      </w:r>
      <w:r>
        <w:t xml:space="preserve">Promising practices identified in this review which helpfully work into this area focus on building capacity for decision-making, supporting the development of self-determination and confidence and maximising forms of choice. It is nuanced, understanding that differences in people’s gender, living circumstances, location, cultural diversity and other circumstances mean that a range of approaches to supporting decision-making are needed – both within and across programs. </w:t>
      </w:r>
    </w:p>
    <w:p w14:paraId="27D7A436" w14:textId="77777777" w:rsidR="007754E3" w:rsidRDefault="007754E3" w:rsidP="007754E3">
      <w:pPr>
        <w:numPr>
          <w:ilvl w:val="0"/>
          <w:numId w:val="15"/>
        </w:numPr>
      </w:pPr>
      <w:r>
        <w:t>Building organisational capacity – both for people making supported decisions, and for supporters of those decisions – is a critical task as the NDIS moves into full implementation. The relationships between individual people with disability and those who support them with their decisions sit within a wider culture that can either support or constrain effective supported decision-making. Some of the elements identified in this review – such as building facilitation skills, trauma-informed practice and effective use of quality resources – hold potential for building organisational capacity which may support not only stronger supported decision-making relationships at the micro level, but also bolster organisational and wider community support practices in other domains in which people with disability often receive support, such as employment, leisure and accommodation.</w:t>
      </w:r>
    </w:p>
    <w:p w14:paraId="16C36371" w14:textId="77777777" w:rsidR="007754E3" w:rsidRPr="007754E3" w:rsidRDefault="007754E3" w:rsidP="007754E3">
      <w:pPr>
        <w:numPr>
          <w:ilvl w:val="0"/>
          <w:numId w:val="15"/>
        </w:numPr>
      </w:pPr>
      <w:r w:rsidRPr="007754E3">
        <w:br w:type="page"/>
      </w:r>
    </w:p>
    <w:p w14:paraId="60CAA5E3" w14:textId="77777777" w:rsidR="00CD5A26" w:rsidRPr="00CD5A26" w:rsidRDefault="00CD5A26" w:rsidP="00CD5A26">
      <w:pPr>
        <w:pStyle w:val="Heading1"/>
        <w:numPr>
          <w:ilvl w:val="0"/>
          <w:numId w:val="0"/>
        </w:numPr>
        <w:ind w:left="720" w:hanging="720"/>
      </w:pPr>
      <w:bookmarkStart w:id="17" w:name="_Toc478552504"/>
      <w:bookmarkStart w:id="18" w:name="_Toc480381292"/>
      <w:r w:rsidRPr="00CD5A26">
        <w:t>References</w:t>
      </w:r>
      <w:bookmarkEnd w:id="17"/>
      <w:bookmarkEnd w:id="18"/>
    </w:p>
    <w:p w14:paraId="594AEC60" w14:textId="77777777" w:rsidR="00CD5A26" w:rsidRPr="00CD5A26" w:rsidRDefault="00CD5A26" w:rsidP="00CD5A26">
      <w:pPr>
        <w:numPr>
          <w:ilvl w:val="0"/>
          <w:numId w:val="15"/>
        </w:numPr>
      </w:pPr>
      <w:r w:rsidRPr="00E77686">
        <w:fldChar w:fldCharType="begin"/>
      </w:r>
      <w:r w:rsidRPr="00E77686">
        <w:instrText xml:space="preserve"> ADDIN EN.REFLIST </w:instrText>
      </w:r>
      <w:r w:rsidRPr="00E77686">
        <w:fldChar w:fldCharType="separate"/>
      </w:r>
      <w:bookmarkStart w:id="19" w:name="_ENREF_1"/>
      <w:r w:rsidRPr="00CD5A26">
        <w:t xml:space="preserve">ARSTEIN-KERSLAKE, A. 2016. An empowering dependency: exploring support for the exercise of legal capacity. </w:t>
      </w:r>
      <w:r w:rsidRPr="00CD5A26">
        <w:rPr>
          <w:i/>
        </w:rPr>
        <w:t>Scandinavian Journal of Disability Research</w:t>
      </w:r>
      <w:r w:rsidRPr="00CD5A26">
        <w:t>, 18, 77-92.</w:t>
      </w:r>
      <w:bookmarkEnd w:id="19"/>
    </w:p>
    <w:p w14:paraId="2A5B02D5" w14:textId="77777777" w:rsidR="00CD5A26" w:rsidRPr="00CD5A26" w:rsidRDefault="00CD5A26" w:rsidP="00CD5A26">
      <w:pPr>
        <w:numPr>
          <w:ilvl w:val="0"/>
          <w:numId w:val="15"/>
        </w:numPr>
      </w:pPr>
      <w:bookmarkStart w:id="20" w:name="_ENREF_2"/>
      <w:r w:rsidRPr="00CD5A26">
        <w:t xml:space="preserve">BOURKE, S. &amp; BURGMAN, I. 2010. Coping with bullying in Australian schools: how children with disabilities experience support from friends, parents and teachers. </w:t>
      </w:r>
      <w:r w:rsidRPr="00CD5A26">
        <w:rPr>
          <w:i/>
        </w:rPr>
        <w:t>Disability &amp; Society</w:t>
      </w:r>
      <w:r w:rsidRPr="00CD5A26">
        <w:t>, 25, 359-371.</w:t>
      </w:r>
      <w:bookmarkEnd w:id="20"/>
    </w:p>
    <w:p w14:paraId="008864B3" w14:textId="77777777" w:rsidR="00CD5A26" w:rsidRPr="00CD5A26" w:rsidRDefault="00CD5A26" w:rsidP="00CD5A26">
      <w:pPr>
        <w:numPr>
          <w:ilvl w:val="0"/>
          <w:numId w:val="15"/>
        </w:numPr>
      </w:pPr>
      <w:bookmarkStart w:id="21" w:name="_ENREF_3"/>
      <w:r w:rsidRPr="00CD5A26">
        <w:t xml:space="preserve">BOWKER, N. &amp; TUFFIN, K. 2003. Dicing with deception: People with disabilities' strategies for managing safety and identity online. </w:t>
      </w:r>
      <w:r w:rsidRPr="00CD5A26">
        <w:rPr>
          <w:i/>
        </w:rPr>
        <w:t>Journal of Computer</w:t>
      </w:r>
      <w:r w:rsidRPr="00CD5A26">
        <w:rPr>
          <w:rFonts w:ascii="Cambria Math" w:hAnsi="Cambria Math" w:cs="Cambria Math"/>
          <w:i/>
        </w:rPr>
        <w:t>‐</w:t>
      </w:r>
      <w:r w:rsidRPr="00CD5A26">
        <w:rPr>
          <w:i/>
        </w:rPr>
        <w:t>Mediated Communication</w:t>
      </w:r>
      <w:r w:rsidRPr="00CD5A26">
        <w:t>, 8, 0-0.</w:t>
      </w:r>
      <w:bookmarkEnd w:id="21"/>
    </w:p>
    <w:p w14:paraId="0B8BC6CD" w14:textId="77777777" w:rsidR="00CD5A26" w:rsidRPr="00CD5A26" w:rsidRDefault="00CD5A26" w:rsidP="00CD5A26">
      <w:pPr>
        <w:numPr>
          <w:ilvl w:val="0"/>
          <w:numId w:val="15"/>
        </w:numPr>
      </w:pPr>
      <w:bookmarkStart w:id="22" w:name="_ENREF_4"/>
      <w:r w:rsidRPr="00CD5A26">
        <w:t>BROWN, H. 2004. A rights-based approach to abuse of women with learning disabilities.</w:t>
      </w:r>
      <w:r w:rsidRPr="00CD5A26">
        <w:rPr>
          <w:i/>
        </w:rPr>
        <w:t xml:space="preserve"> Tizard Learning Disability Review</w:t>
      </w:r>
      <w:r w:rsidRPr="00CD5A26">
        <w:t>, 9, 41-44.</w:t>
      </w:r>
      <w:bookmarkEnd w:id="22"/>
    </w:p>
    <w:p w14:paraId="0C565A8D" w14:textId="77777777" w:rsidR="00CD5A26" w:rsidRPr="00CD5A26" w:rsidRDefault="00CD5A26" w:rsidP="00CD5A26">
      <w:pPr>
        <w:numPr>
          <w:ilvl w:val="0"/>
          <w:numId w:val="15"/>
        </w:numPr>
      </w:pPr>
      <w:bookmarkStart w:id="23" w:name="_ENREF_5"/>
      <w:r w:rsidRPr="00CD5A26">
        <w:t>BROWN, I. &amp; SCHORMANS, A. F. 2014. Quality of life, children with intellectual and developmental disabilities, and maltreatment.</w:t>
      </w:r>
      <w:r w:rsidRPr="00CD5A26">
        <w:rPr>
          <w:i/>
        </w:rPr>
        <w:t xml:space="preserve"> International Public Health Journal</w:t>
      </w:r>
      <w:r w:rsidRPr="00CD5A26">
        <w:t>, 6, 185</w:t>
      </w:r>
      <w:r w:rsidR="00D30C08">
        <w:t>+</w:t>
      </w:r>
      <w:r w:rsidRPr="00CD5A26">
        <w:t>.</w:t>
      </w:r>
      <w:bookmarkEnd w:id="23"/>
    </w:p>
    <w:p w14:paraId="67DC9B6A" w14:textId="77777777" w:rsidR="00CD5A26" w:rsidRPr="00CD5A26" w:rsidRDefault="00CD5A26" w:rsidP="00CD5A26">
      <w:pPr>
        <w:numPr>
          <w:ilvl w:val="0"/>
          <w:numId w:val="15"/>
        </w:numPr>
      </w:pPr>
      <w:bookmarkStart w:id="24" w:name="_ENREF_6"/>
      <w:r w:rsidRPr="00CD5A26">
        <w:t xml:space="preserve">CAMBRIDGE, P. 1998. Challenges for safer sex education and HIV prevention in services for people with intellectual disabilities in Britain. </w:t>
      </w:r>
      <w:r w:rsidRPr="00CD5A26">
        <w:rPr>
          <w:i/>
        </w:rPr>
        <w:t>Health Promotion International</w:t>
      </w:r>
      <w:r w:rsidRPr="00CD5A26">
        <w:t>, 13, 67-74.</w:t>
      </w:r>
      <w:bookmarkEnd w:id="24"/>
    </w:p>
    <w:p w14:paraId="15431EF2" w14:textId="77777777" w:rsidR="00CD5A26" w:rsidRPr="00CD5A26" w:rsidRDefault="00CD5A26" w:rsidP="00CD5A26">
      <w:pPr>
        <w:numPr>
          <w:ilvl w:val="0"/>
          <w:numId w:val="15"/>
        </w:numPr>
      </w:pPr>
      <w:bookmarkStart w:id="25" w:name="_ENREF_7"/>
      <w:r w:rsidRPr="00CD5A26">
        <w:t xml:space="preserve">CAMPBELL, M., HOGG, J., PENHALE, B., HUNTER, S., MANTHORPE, J., RIDLEY, J., CORNES, M. &amp; ROSENGARD, A. 2012. When self-directed support meets adult support and protection: findings from the evaluation of the SDS test sites in Scotland. </w:t>
      </w:r>
      <w:r w:rsidRPr="00CD5A26">
        <w:rPr>
          <w:i/>
        </w:rPr>
        <w:t>The Journal of Adult Protection</w:t>
      </w:r>
      <w:r w:rsidRPr="00CD5A26">
        <w:t>, 14, 206-215.</w:t>
      </w:r>
      <w:bookmarkEnd w:id="25"/>
    </w:p>
    <w:p w14:paraId="4B06D539" w14:textId="77777777" w:rsidR="00CD5A26" w:rsidRPr="00CD5A26" w:rsidRDefault="00CD5A26" w:rsidP="00CD5A26">
      <w:pPr>
        <w:numPr>
          <w:ilvl w:val="0"/>
          <w:numId w:val="15"/>
        </w:numPr>
      </w:pPr>
      <w:bookmarkStart w:id="26" w:name="_ENREF_8"/>
      <w:r w:rsidRPr="00CD5A26">
        <w:t xml:space="preserve">CARR, S. 2011. Enabling risk and ensuring safety: self-directed support and personal budgets. </w:t>
      </w:r>
      <w:r w:rsidRPr="00CD5A26">
        <w:rPr>
          <w:i/>
        </w:rPr>
        <w:t>The Journal of Adult Protection</w:t>
      </w:r>
      <w:r w:rsidRPr="00CD5A26">
        <w:t>, 13, 122-136.</w:t>
      </w:r>
      <w:bookmarkEnd w:id="26"/>
    </w:p>
    <w:p w14:paraId="602EC518" w14:textId="77777777" w:rsidR="00CD5A26" w:rsidRPr="00CD5A26" w:rsidRDefault="00CD5A26" w:rsidP="00CD5A26">
      <w:pPr>
        <w:numPr>
          <w:ilvl w:val="0"/>
          <w:numId w:val="15"/>
        </w:numPr>
      </w:pPr>
      <w:bookmarkStart w:id="27" w:name="_ENREF_9"/>
      <w:r w:rsidRPr="00CD5A26">
        <w:t xml:space="preserve">CATON, S. &amp; CHAPMAN, M. 2016. The use of social media and people with intellectual disability: a systematic review and thematic analysis. </w:t>
      </w:r>
      <w:r w:rsidRPr="00CD5A26">
        <w:rPr>
          <w:i/>
        </w:rPr>
        <w:t>Journal of Intellectual and Developmental Disability</w:t>
      </w:r>
      <w:r w:rsidRPr="00CD5A26">
        <w:t>, 41, 125-139.</w:t>
      </w:r>
      <w:bookmarkEnd w:id="27"/>
    </w:p>
    <w:p w14:paraId="7D4C1E4E" w14:textId="77777777" w:rsidR="00CD5A26" w:rsidRPr="00CD5A26" w:rsidRDefault="00CD5A26" w:rsidP="00CD5A26">
      <w:pPr>
        <w:numPr>
          <w:ilvl w:val="0"/>
          <w:numId w:val="15"/>
        </w:numPr>
      </w:pPr>
      <w:bookmarkStart w:id="28" w:name="_ENREF_10"/>
      <w:r w:rsidRPr="00CD5A26">
        <w:t xml:space="preserve">CHAN, J., FRENCH, P., HUDSON, C. &amp; WEBBER, L. 2012. Applying the CRPD to safeguard the rights of people with a disability in contact with the criminal justice system. </w:t>
      </w:r>
      <w:r w:rsidRPr="00CD5A26">
        <w:rPr>
          <w:i/>
        </w:rPr>
        <w:t>Psychiatry, Psychology and Law</w:t>
      </w:r>
      <w:r w:rsidRPr="00CD5A26">
        <w:t>, 19, 558-565.</w:t>
      </w:r>
      <w:bookmarkEnd w:id="28"/>
    </w:p>
    <w:p w14:paraId="6C338873" w14:textId="77777777" w:rsidR="00CD5A26" w:rsidRPr="00CD5A26" w:rsidRDefault="00CD5A26" w:rsidP="00CD5A26">
      <w:pPr>
        <w:numPr>
          <w:ilvl w:val="0"/>
          <w:numId w:val="15"/>
        </w:numPr>
      </w:pPr>
      <w:bookmarkStart w:id="29" w:name="_ENREF_11"/>
      <w:r w:rsidRPr="00CD5A26">
        <w:t xml:space="preserve">COLLIER, B., MCGHIE-RICHMOND, D., ODETTE, F. &amp; PYNE, J. 2006. Reducing the risk of sexual abuse for people who use augmentative and alternative communication. </w:t>
      </w:r>
      <w:r w:rsidRPr="00CD5A26">
        <w:rPr>
          <w:i/>
        </w:rPr>
        <w:t>Augmentative and Alternative Communication</w:t>
      </w:r>
      <w:r w:rsidRPr="00CD5A26">
        <w:t>, 22, 62-75.</w:t>
      </w:r>
      <w:bookmarkEnd w:id="29"/>
    </w:p>
    <w:p w14:paraId="10069632" w14:textId="77777777" w:rsidR="00CD5A26" w:rsidRPr="00CD5A26" w:rsidRDefault="00CD5A26" w:rsidP="00CD5A26">
      <w:pPr>
        <w:numPr>
          <w:ilvl w:val="0"/>
          <w:numId w:val="15"/>
        </w:numPr>
      </w:pPr>
      <w:bookmarkStart w:id="30" w:name="_ENREF_12"/>
      <w:r w:rsidRPr="00CD5A26">
        <w:t xml:space="preserve">DANIEL, B. &amp; BOWES, A. 2010. Re-thinking harm and abuse: Insights from a lifespan perspective. </w:t>
      </w:r>
      <w:r w:rsidRPr="00CD5A26">
        <w:rPr>
          <w:i/>
        </w:rPr>
        <w:t>British Journal of Social Work</w:t>
      </w:r>
      <w:r w:rsidRPr="00CD5A26">
        <w:t xml:space="preserve">, </w:t>
      </w:r>
      <w:r w:rsidR="00D30C08">
        <w:t>820-836</w:t>
      </w:r>
      <w:r w:rsidRPr="00CD5A26">
        <w:t>.</w:t>
      </w:r>
      <w:bookmarkEnd w:id="30"/>
    </w:p>
    <w:p w14:paraId="67BCBDB9" w14:textId="77777777" w:rsidR="00CD5A26" w:rsidRPr="00CD5A26" w:rsidRDefault="00CD5A26" w:rsidP="00CD5A26">
      <w:pPr>
        <w:numPr>
          <w:ilvl w:val="0"/>
          <w:numId w:val="15"/>
        </w:numPr>
      </w:pPr>
      <w:bookmarkStart w:id="31" w:name="_ENREF_13"/>
      <w:r w:rsidRPr="00CD5A26">
        <w:t xml:space="preserve">DANIEL, B., CROSS, B., SHERWOOD-JOHNSON, F. &amp; PATON, D. 2013. Risk and decision making in adult support and protection practice: User views from participant research. </w:t>
      </w:r>
      <w:r w:rsidRPr="00CD5A26">
        <w:rPr>
          <w:i/>
        </w:rPr>
        <w:t>British Journal of Social Work</w:t>
      </w:r>
      <w:r w:rsidRPr="00CD5A26">
        <w:t xml:space="preserve">, </w:t>
      </w:r>
      <w:r w:rsidR="00D30C08">
        <w:t>1233-1250</w:t>
      </w:r>
      <w:r w:rsidRPr="00CD5A26">
        <w:t>.</w:t>
      </w:r>
      <w:bookmarkEnd w:id="31"/>
    </w:p>
    <w:p w14:paraId="4EC75FF0" w14:textId="77777777" w:rsidR="00CD5A26" w:rsidRPr="00CD5A26" w:rsidRDefault="00CD5A26" w:rsidP="00CD5A26">
      <w:pPr>
        <w:numPr>
          <w:ilvl w:val="0"/>
          <w:numId w:val="15"/>
        </w:numPr>
      </w:pPr>
      <w:bookmarkStart w:id="32" w:name="_ENREF_14"/>
      <w:r w:rsidRPr="00CD5A26">
        <w:t xml:space="preserve">DIXON, D. R., BERGSTROM, R., SMITH, M. N. &amp; TARBOX, J. 2010. A review of research on procedures for teaching safety skills to persons with developmental disabilities. </w:t>
      </w:r>
      <w:r w:rsidRPr="00CD5A26">
        <w:rPr>
          <w:i/>
        </w:rPr>
        <w:t>Research in developmental disabilities</w:t>
      </w:r>
      <w:r w:rsidRPr="00CD5A26">
        <w:t>, 31, 985-994.</w:t>
      </w:r>
      <w:bookmarkEnd w:id="32"/>
    </w:p>
    <w:p w14:paraId="51B84C15" w14:textId="77777777" w:rsidR="00CD5A26" w:rsidRPr="00CD5A26" w:rsidRDefault="00CD5A26" w:rsidP="00CD5A26">
      <w:pPr>
        <w:numPr>
          <w:ilvl w:val="0"/>
          <w:numId w:val="15"/>
        </w:numPr>
      </w:pPr>
      <w:bookmarkStart w:id="33" w:name="_ENREF_15"/>
      <w:r w:rsidRPr="00CD5A26">
        <w:t xml:space="preserve">DIXON, J. &amp; ROBB, M. 2015. Working with women with a learning disability experiencing domestic abuse: How social workers can negotiate competing definitions of risk. </w:t>
      </w:r>
      <w:r w:rsidRPr="00CD5A26">
        <w:rPr>
          <w:i/>
        </w:rPr>
        <w:t>British Journal of Social Work</w:t>
      </w:r>
      <w:r w:rsidRPr="00CD5A26">
        <w:t xml:space="preserve">, </w:t>
      </w:r>
      <w:r w:rsidR="00D30C08">
        <w:t>773-778</w:t>
      </w:r>
      <w:r w:rsidRPr="00CD5A26">
        <w:t>.</w:t>
      </w:r>
      <w:bookmarkEnd w:id="33"/>
    </w:p>
    <w:p w14:paraId="264BAFED" w14:textId="77777777" w:rsidR="00CD5A26" w:rsidRPr="00CD5A26" w:rsidRDefault="00CD5A26" w:rsidP="00CD5A26">
      <w:pPr>
        <w:numPr>
          <w:ilvl w:val="0"/>
          <w:numId w:val="15"/>
        </w:numPr>
      </w:pPr>
      <w:bookmarkStart w:id="34" w:name="_ENREF_16"/>
      <w:r w:rsidRPr="00CD5A26">
        <w:t xml:space="preserve">ELLIS, K. &amp; PRESTON-SHOOT, M. 2012. Squaring another </w:t>
      </w:r>
      <w:r w:rsidR="00D30C08">
        <w:t>circle in policy and practice: P</w:t>
      </w:r>
      <w:r w:rsidRPr="00CD5A26">
        <w:t xml:space="preserve">ersonalization and adult safeguarding. </w:t>
      </w:r>
      <w:r w:rsidRPr="00CD5A26">
        <w:rPr>
          <w:i/>
        </w:rPr>
        <w:t>Journal of Care Services Management</w:t>
      </w:r>
      <w:r w:rsidRPr="00CD5A26">
        <w:t>, 6, 161-171.</w:t>
      </w:r>
      <w:bookmarkEnd w:id="34"/>
    </w:p>
    <w:p w14:paraId="40A8D8F6" w14:textId="77777777" w:rsidR="00CD5A26" w:rsidRPr="00CD5A26" w:rsidRDefault="00D30C08" w:rsidP="00CD5A26">
      <w:pPr>
        <w:numPr>
          <w:ilvl w:val="0"/>
          <w:numId w:val="15"/>
        </w:numPr>
      </w:pPr>
      <w:bookmarkStart w:id="35" w:name="_ENREF_17"/>
      <w:r>
        <w:t>FRAWLEY, P. &amp; BIGBY, C. 2014. '</w:t>
      </w:r>
      <w:r w:rsidR="00CD5A26" w:rsidRPr="00CD5A26">
        <w:t>I'm in their shoes</w:t>
      </w:r>
      <w:r>
        <w:t>'</w:t>
      </w:r>
      <w:r w:rsidR="00CD5A26" w:rsidRPr="00CD5A26">
        <w:t xml:space="preserve">: Experiences of peer educators in sexuality and relationship education. </w:t>
      </w:r>
      <w:r w:rsidR="00CD5A26" w:rsidRPr="00CD5A26">
        <w:rPr>
          <w:i/>
        </w:rPr>
        <w:t>J</w:t>
      </w:r>
      <w:r w:rsidR="00CD5A26" w:rsidRPr="00D30C08">
        <w:rPr>
          <w:i/>
        </w:rPr>
        <w:t xml:space="preserve">ournal of </w:t>
      </w:r>
      <w:r w:rsidRPr="00D30C08">
        <w:rPr>
          <w:i/>
        </w:rPr>
        <w:t>I</w:t>
      </w:r>
      <w:r w:rsidR="00CD5A26" w:rsidRPr="00D30C08">
        <w:rPr>
          <w:i/>
        </w:rPr>
        <w:t xml:space="preserve">ntellectual and </w:t>
      </w:r>
      <w:r w:rsidRPr="00D30C08">
        <w:rPr>
          <w:i/>
        </w:rPr>
        <w:t>D</w:t>
      </w:r>
      <w:r w:rsidR="00CD5A26" w:rsidRPr="00D30C08">
        <w:rPr>
          <w:i/>
        </w:rPr>
        <w:t xml:space="preserve">evelopmental </w:t>
      </w:r>
      <w:r w:rsidRPr="00D30C08">
        <w:rPr>
          <w:i/>
        </w:rPr>
        <w:t>D</w:t>
      </w:r>
      <w:r w:rsidR="00CD5A26" w:rsidRPr="00D30C08">
        <w:rPr>
          <w:i/>
        </w:rPr>
        <w:t>isabilit</w:t>
      </w:r>
      <w:r w:rsidR="00CD5A26" w:rsidRPr="00CD5A26">
        <w:rPr>
          <w:i/>
        </w:rPr>
        <w:t>y</w:t>
      </w:r>
      <w:r w:rsidR="00CD5A26" w:rsidRPr="00CD5A26">
        <w:t>, 39, 167-176.</w:t>
      </w:r>
      <w:bookmarkEnd w:id="35"/>
    </w:p>
    <w:p w14:paraId="2898223F" w14:textId="77777777" w:rsidR="00CD5A26" w:rsidRPr="00CD5A26" w:rsidRDefault="00CD5A26" w:rsidP="00CD5A26">
      <w:pPr>
        <w:numPr>
          <w:ilvl w:val="0"/>
          <w:numId w:val="15"/>
        </w:numPr>
      </w:pPr>
      <w:bookmarkStart w:id="36" w:name="_ENREF_18"/>
      <w:r w:rsidRPr="00CD5A26">
        <w:t>FRENCH, P., DARDEL, J. &amp; PRICE-KELLY, S. 2010</w:t>
      </w:r>
      <w:r w:rsidR="00D30C08">
        <w:t>.</w:t>
      </w:r>
      <w:r w:rsidRPr="00CD5A26">
        <w:t xml:space="preserve"> </w:t>
      </w:r>
      <w:r w:rsidRPr="00FC5892">
        <w:rPr>
          <w:i/>
        </w:rPr>
        <w:t>Rights Denied: Towards a National Policy Agenda about Abuse, Neglect &amp; Exploitation of Persons with Cognitive Impairment</w:t>
      </w:r>
      <w:r w:rsidRPr="00CD5A26">
        <w:t>. Sydney: People with Disability Australia.</w:t>
      </w:r>
      <w:bookmarkEnd w:id="36"/>
    </w:p>
    <w:p w14:paraId="6F668C4C" w14:textId="77777777" w:rsidR="00CD5A26" w:rsidRPr="00CD5A26" w:rsidRDefault="00CD5A26" w:rsidP="00CD5A26">
      <w:pPr>
        <w:numPr>
          <w:ilvl w:val="0"/>
          <w:numId w:val="15"/>
        </w:numPr>
      </w:pPr>
      <w:bookmarkStart w:id="37" w:name="_ENREF_19"/>
      <w:r w:rsidRPr="00CD5A26">
        <w:t xml:space="preserve">FROHMADER, C., DOWSE, L. &amp; DIDI, A. 2015. </w:t>
      </w:r>
      <w:r w:rsidRPr="00FC5892">
        <w:rPr>
          <w:i/>
        </w:rPr>
        <w:t xml:space="preserve">Preventing </w:t>
      </w:r>
      <w:r w:rsidR="00FC5892" w:rsidRPr="00FC5892">
        <w:rPr>
          <w:i/>
        </w:rPr>
        <w:t>Violence Against Women and Girls with D</w:t>
      </w:r>
      <w:r w:rsidRPr="00FC5892">
        <w:rPr>
          <w:i/>
        </w:rPr>
        <w:t xml:space="preserve">isabilities: Integrating a </w:t>
      </w:r>
      <w:r w:rsidR="00FC5892" w:rsidRPr="00FC5892">
        <w:rPr>
          <w:i/>
        </w:rPr>
        <w:t>Human R</w:t>
      </w:r>
      <w:r w:rsidRPr="00FC5892">
        <w:rPr>
          <w:i/>
        </w:rPr>
        <w:t xml:space="preserve">ights </w:t>
      </w:r>
      <w:r w:rsidR="00FC5892" w:rsidRPr="00FC5892">
        <w:rPr>
          <w:i/>
        </w:rPr>
        <w:t>A</w:t>
      </w:r>
      <w:r w:rsidRPr="00FC5892">
        <w:rPr>
          <w:i/>
        </w:rPr>
        <w:t>pproach</w:t>
      </w:r>
      <w:r w:rsidRPr="00CD5A26">
        <w:t>. Hobart: Women with Disabilities Australia.</w:t>
      </w:r>
      <w:bookmarkEnd w:id="37"/>
    </w:p>
    <w:p w14:paraId="4C212F67" w14:textId="77777777" w:rsidR="00CD5A26" w:rsidRPr="00CD5A26" w:rsidRDefault="00CD5A26" w:rsidP="00CD5A26">
      <w:pPr>
        <w:numPr>
          <w:ilvl w:val="0"/>
          <w:numId w:val="15"/>
        </w:numPr>
      </w:pPr>
      <w:bookmarkStart w:id="38" w:name="_ENREF_20"/>
      <w:r w:rsidRPr="00CD5A26">
        <w:t xml:space="preserve">FYSON, R. &amp; KITSON, D. 2007. Independence or protection–does it have to be a choice? Reflections on the abuse of people with learning disabilities in Cornwall. </w:t>
      </w:r>
      <w:r w:rsidRPr="00CD5A26">
        <w:rPr>
          <w:i/>
        </w:rPr>
        <w:t>Critical Social Policy</w:t>
      </w:r>
      <w:r w:rsidRPr="00CD5A26">
        <w:t>, 27, 426-436.</w:t>
      </w:r>
      <w:bookmarkEnd w:id="38"/>
    </w:p>
    <w:p w14:paraId="30245C8F" w14:textId="77777777" w:rsidR="00CD5A26" w:rsidRPr="00CD5A26" w:rsidRDefault="00CD5A26" w:rsidP="00CD5A26">
      <w:pPr>
        <w:numPr>
          <w:ilvl w:val="0"/>
          <w:numId w:val="15"/>
        </w:numPr>
      </w:pPr>
      <w:bookmarkStart w:id="39" w:name="_ENREF_21"/>
      <w:r w:rsidRPr="00CD5A26">
        <w:t>GOODLEY, D. &amp; RUNSWICK</w:t>
      </w:r>
      <w:r w:rsidRPr="00CD5A26">
        <w:rPr>
          <w:rFonts w:ascii="Cambria Math" w:hAnsi="Cambria Math" w:cs="Cambria Math"/>
        </w:rPr>
        <w:t>‐</w:t>
      </w:r>
      <w:r w:rsidRPr="00CD5A26">
        <w:t xml:space="preserve">COLE, K. 2011. The violence of disablism. </w:t>
      </w:r>
      <w:r w:rsidRPr="00CD5A26">
        <w:rPr>
          <w:i/>
        </w:rPr>
        <w:t xml:space="preserve">Sociology of </w:t>
      </w:r>
      <w:r w:rsidR="00FC5892" w:rsidRPr="00FC5892">
        <w:rPr>
          <w:i/>
        </w:rPr>
        <w:t>H</w:t>
      </w:r>
      <w:r w:rsidR="00FC5892">
        <w:rPr>
          <w:i/>
        </w:rPr>
        <w:t>ealth &amp; I</w:t>
      </w:r>
      <w:r w:rsidRPr="00CD5A26">
        <w:rPr>
          <w:i/>
        </w:rPr>
        <w:t>llness</w:t>
      </w:r>
      <w:r w:rsidRPr="00CD5A26">
        <w:t>, 33, 602-617.</w:t>
      </w:r>
      <w:bookmarkEnd w:id="39"/>
    </w:p>
    <w:p w14:paraId="7DFFA121" w14:textId="77777777" w:rsidR="00CD5A26" w:rsidRPr="00CD5A26" w:rsidRDefault="00CD5A26" w:rsidP="00CD5A26">
      <w:pPr>
        <w:numPr>
          <w:ilvl w:val="0"/>
          <w:numId w:val="15"/>
        </w:numPr>
      </w:pPr>
      <w:bookmarkStart w:id="40" w:name="_ENREF_22"/>
      <w:r w:rsidRPr="00CD5A26">
        <w:t xml:space="preserve">HALLAHAN, L. 2012. </w:t>
      </w:r>
      <w:r w:rsidRPr="00FC5892">
        <w:rPr>
          <w:i/>
        </w:rPr>
        <w:t>Towards Quality and Safety in Disabi</w:t>
      </w:r>
      <w:r w:rsidR="00FC5892" w:rsidRPr="00FC5892">
        <w:rPr>
          <w:i/>
        </w:rPr>
        <w:t>lity Services: Confronting the '</w:t>
      </w:r>
      <w:r w:rsidRPr="00FC5892">
        <w:rPr>
          <w:i/>
        </w:rPr>
        <w:t>Corruption of Care</w:t>
      </w:r>
      <w:r w:rsidR="00FC5892">
        <w:t>'</w:t>
      </w:r>
      <w:r w:rsidRPr="00CD5A26">
        <w:t>. Report to SA Health &amp; Community Services Complaints Commissioner. Adelaide: Flinders University.</w:t>
      </w:r>
      <w:bookmarkEnd w:id="40"/>
    </w:p>
    <w:p w14:paraId="52D55E42" w14:textId="77777777" w:rsidR="00CD5A26" w:rsidRPr="00CD5A26" w:rsidRDefault="00CD5A26" w:rsidP="00CD5A26">
      <w:pPr>
        <w:numPr>
          <w:ilvl w:val="0"/>
          <w:numId w:val="15"/>
        </w:numPr>
      </w:pPr>
      <w:bookmarkStart w:id="41" w:name="_ENREF_23"/>
      <w:r w:rsidRPr="00CD5A26">
        <w:t xml:space="preserve">HERNON, J., BRANDON, M., COSSAR, J. &amp; SHAKESPEARE, T. 2015. Recognising and responding to the maltreatment of disabled children: A children’s rights approach. </w:t>
      </w:r>
      <w:r w:rsidRPr="00CD5A26">
        <w:rPr>
          <w:i/>
        </w:rPr>
        <w:t>Social Work and Social Sciences Review</w:t>
      </w:r>
      <w:r w:rsidRPr="00CD5A26">
        <w:t>, 17, 61-77.</w:t>
      </w:r>
      <w:bookmarkEnd w:id="41"/>
    </w:p>
    <w:p w14:paraId="5E8DD9C6" w14:textId="77777777" w:rsidR="00CD5A26" w:rsidRPr="00CD5A26" w:rsidRDefault="00CD5A26" w:rsidP="00CD5A26">
      <w:pPr>
        <w:numPr>
          <w:ilvl w:val="0"/>
          <w:numId w:val="15"/>
        </w:numPr>
      </w:pPr>
      <w:bookmarkStart w:id="42" w:name="_ENREF_24"/>
      <w:r w:rsidRPr="00CD5A26">
        <w:t xml:space="preserve">HOLLOMOTZ, A. 2012. ‘A lad tried to get hold of my boobs, so I kicked him’: </w:t>
      </w:r>
      <w:r w:rsidR="00FC5892">
        <w:t>A</w:t>
      </w:r>
      <w:r w:rsidRPr="00CD5A26">
        <w:t xml:space="preserve">n examination of attempts by adults with learning difficulties to initiate their own safeguarding. </w:t>
      </w:r>
      <w:r w:rsidRPr="00CD5A26">
        <w:rPr>
          <w:i/>
        </w:rPr>
        <w:t>Disability &amp; Society</w:t>
      </w:r>
      <w:r w:rsidRPr="00CD5A26">
        <w:t>, 27, 117-129.</w:t>
      </w:r>
      <w:bookmarkEnd w:id="42"/>
    </w:p>
    <w:p w14:paraId="02E86BEE" w14:textId="77777777" w:rsidR="00CD5A26" w:rsidRPr="00CD5A26" w:rsidRDefault="00CD5A26" w:rsidP="00CD5A26">
      <w:pPr>
        <w:numPr>
          <w:ilvl w:val="0"/>
          <w:numId w:val="15"/>
        </w:numPr>
      </w:pPr>
      <w:bookmarkStart w:id="43" w:name="_ENREF_25"/>
      <w:r w:rsidRPr="00CD5A26">
        <w:t>HUGHES, R. B., LUND, E. M., GABRIELLI, J., POWERS, L. E. &amp; CURRY, M. A. 2011. Prevalence of interpersonal violence against community-li</w:t>
      </w:r>
      <w:r w:rsidR="00FC5892">
        <w:t>ving adults with disabilities: A</w:t>
      </w:r>
      <w:r w:rsidRPr="00CD5A26">
        <w:t xml:space="preserve"> literature review. </w:t>
      </w:r>
      <w:r w:rsidRPr="00CD5A26">
        <w:rPr>
          <w:i/>
        </w:rPr>
        <w:t>Rehabilitation Psychology</w:t>
      </w:r>
      <w:r w:rsidRPr="00CD5A26">
        <w:t>, 56, 302</w:t>
      </w:r>
      <w:r w:rsidR="00FC5892">
        <w:t>-319</w:t>
      </w:r>
      <w:r w:rsidRPr="00CD5A26">
        <w:t>.</w:t>
      </w:r>
      <w:bookmarkEnd w:id="43"/>
    </w:p>
    <w:p w14:paraId="29814BA0" w14:textId="77777777" w:rsidR="00CD5A26" w:rsidRPr="00CD5A26" w:rsidRDefault="00CD5A26" w:rsidP="00CD5A26">
      <w:pPr>
        <w:numPr>
          <w:ilvl w:val="0"/>
          <w:numId w:val="15"/>
        </w:numPr>
      </w:pPr>
      <w:bookmarkStart w:id="44" w:name="_ENREF_26"/>
      <w:r w:rsidRPr="00CD5A26">
        <w:t xml:space="preserve">JENKINS, R. &amp; DAVIES, R. 2006. Neglect of people with intellectual disabilities: A failure to act? </w:t>
      </w:r>
      <w:r w:rsidRPr="00CD5A26">
        <w:rPr>
          <w:i/>
        </w:rPr>
        <w:t>Journal of Intellectual Disabilities</w:t>
      </w:r>
      <w:r w:rsidRPr="00CD5A26">
        <w:t>, 10, 35-45.</w:t>
      </w:r>
      <w:bookmarkEnd w:id="44"/>
    </w:p>
    <w:p w14:paraId="603EFB83" w14:textId="77777777" w:rsidR="00CD5A26" w:rsidRPr="00CD5A26" w:rsidRDefault="00CD5A26" w:rsidP="00CD5A26">
      <w:pPr>
        <w:numPr>
          <w:ilvl w:val="0"/>
          <w:numId w:val="15"/>
        </w:numPr>
      </w:pPr>
      <w:bookmarkStart w:id="45" w:name="_ENREF_27"/>
      <w:r w:rsidRPr="00CD5A26">
        <w:t xml:space="preserve">JUNNE, J. &amp; HUBER, C. 2014. The risk of users’ choice: </w:t>
      </w:r>
      <w:r w:rsidR="00FC5892">
        <w:t>E</w:t>
      </w:r>
      <w:r w:rsidRPr="00CD5A26">
        <w:t>xploring the case of direct payments in German social care.</w:t>
      </w:r>
      <w:r w:rsidRPr="00CD5A26">
        <w:rPr>
          <w:i/>
        </w:rPr>
        <w:t xml:space="preserve"> Health, Risk &amp; Society</w:t>
      </w:r>
      <w:r w:rsidRPr="00CD5A26">
        <w:t>, 16, 631-648.</w:t>
      </w:r>
      <w:bookmarkEnd w:id="45"/>
    </w:p>
    <w:p w14:paraId="6B43BEE2" w14:textId="77777777" w:rsidR="00CD5A26" w:rsidRPr="00CD5A26" w:rsidRDefault="00CD5A26" w:rsidP="00CD5A26">
      <w:pPr>
        <w:numPr>
          <w:ilvl w:val="0"/>
          <w:numId w:val="15"/>
        </w:numPr>
      </w:pPr>
      <w:bookmarkStart w:id="46" w:name="_ENREF_28"/>
      <w:r w:rsidRPr="00CD5A26">
        <w:t xml:space="preserve">KHEMKA, I., HICKSON, L., REYNOLDS, G. &amp; MACLEAN JR, W. E. 2005. Evaluation of a decision-making curriculum designed to empower women with mental retardation to resist abuse. </w:t>
      </w:r>
      <w:r w:rsidRPr="00CD5A26">
        <w:rPr>
          <w:i/>
        </w:rPr>
        <w:t>American Journal on Mental Retardation</w:t>
      </w:r>
      <w:r w:rsidRPr="00CD5A26">
        <w:t>, 110, 193-204.</w:t>
      </w:r>
      <w:bookmarkEnd w:id="46"/>
    </w:p>
    <w:p w14:paraId="20FECC54" w14:textId="77777777" w:rsidR="00CD5A26" w:rsidRPr="00CD5A26" w:rsidRDefault="00FC5892" w:rsidP="00CD5A26">
      <w:pPr>
        <w:numPr>
          <w:ilvl w:val="0"/>
          <w:numId w:val="15"/>
        </w:numPr>
      </w:pPr>
      <w:bookmarkStart w:id="47" w:name="_ENREF_29"/>
      <w:r>
        <w:t>LAMOREY, S. 2010. Risk r</w:t>
      </w:r>
      <w:r w:rsidR="00CD5A26" w:rsidRPr="00CD5A26">
        <w:t xml:space="preserve">eduction </w:t>
      </w:r>
      <w:r>
        <w:t>e</w:t>
      </w:r>
      <w:r w:rsidR="00CD5A26" w:rsidRPr="00CD5A26">
        <w:t xml:space="preserve">ducation </w:t>
      </w:r>
      <w:r>
        <w:t>v</w:t>
      </w:r>
      <w:r w:rsidR="00CD5A26" w:rsidRPr="00CD5A26">
        <w:t xml:space="preserve">oices </w:t>
      </w:r>
      <w:r>
        <w:t>f</w:t>
      </w:r>
      <w:r w:rsidR="00CD5A26" w:rsidRPr="00CD5A26">
        <w:t xml:space="preserve">rom the </w:t>
      </w:r>
      <w:r>
        <w:t>f</w:t>
      </w:r>
      <w:r w:rsidR="00CD5A26" w:rsidRPr="00CD5A26">
        <w:t xml:space="preserve">ield. </w:t>
      </w:r>
      <w:r w:rsidR="00CD5A26" w:rsidRPr="00CD5A26">
        <w:rPr>
          <w:i/>
        </w:rPr>
        <w:t>Remedial and Special Education</w:t>
      </w:r>
      <w:r w:rsidR="00CD5A26" w:rsidRPr="00CD5A26">
        <w:t>, 31, 87-96.</w:t>
      </w:r>
      <w:bookmarkEnd w:id="47"/>
    </w:p>
    <w:p w14:paraId="69F17F77" w14:textId="77777777" w:rsidR="00CD5A26" w:rsidRPr="00CD5A26" w:rsidRDefault="00CD5A26" w:rsidP="00CD5A26">
      <w:pPr>
        <w:numPr>
          <w:ilvl w:val="0"/>
          <w:numId w:val="15"/>
        </w:numPr>
      </w:pPr>
      <w:bookmarkStart w:id="48" w:name="_ENREF_30"/>
      <w:r w:rsidRPr="00CD5A26">
        <w:t xml:space="preserve">LUND, E. M. &amp; HAMMOND, M. 2014. Single-session intervention for abuse awareness among people with developmental disabilities. </w:t>
      </w:r>
      <w:r w:rsidRPr="00CD5A26">
        <w:rPr>
          <w:i/>
        </w:rPr>
        <w:t>Sexuality and Disability</w:t>
      </w:r>
      <w:r w:rsidRPr="00CD5A26">
        <w:t>, 32, 99-105.</w:t>
      </w:r>
      <w:bookmarkEnd w:id="48"/>
    </w:p>
    <w:p w14:paraId="70B3E6F9" w14:textId="77777777" w:rsidR="00CD5A26" w:rsidRPr="00CD5A26" w:rsidRDefault="00CD5A26" w:rsidP="00CD5A26">
      <w:pPr>
        <w:numPr>
          <w:ilvl w:val="0"/>
          <w:numId w:val="15"/>
        </w:numPr>
      </w:pPr>
      <w:bookmarkStart w:id="49" w:name="_ENREF_31"/>
      <w:r w:rsidRPr="00CD5A26">
        <w:t>MANDERS, J. E. &amp; STONEMAN, Z. 2009. Children with disabilities in the child protective services system: An analog study of investigation and case management.</w:t>
      </w:r>
      <w:r w:rsidR="00FC5892">
        <w:rPr>
          <w:i/>
        </w:rPr>
        <w:t xml:space="preserve"> Child </w:t>
      </w:r>
      <w:r w:rsidR="00FC5892" w:rsidRPr="00FC5892">
        <w:rPr>
          <w:i/>
        </w:rPr>
        <w:t>A</w:t>
      </w:r>
      <w:r w:rsidRPr="00CD5A26">
        <w:rPr>
          <w:i/>
        </w:rPr>
        <w:t xml:space="preserve">buse &amp; </w:t>
      </w:r>
      <w:r w:rsidR="00FC5892" w:rsidRPr="00FC5892">
        <w:rPr>
          <w:i/>
        </w:rPr>
        <w:t>N</w:t>
      </w:r>
      <w:r w:rsidRPr="00CD5A26">
        <w:rPr>
          <w:i/>
        </w:rPr>
        <w:t>eglect</w:t>
      </w:r>
      <w:r w:rsidRPr="00CD5A26">
        <w:t>, 33, 229-237.</w:t>
      </w:r>
      <w:bookmarkEnd w:id="49"/>
    </w:p>
    <w:p w14:paraId="40B0CA21" w14:textId="77777777" w:rsidR="00CD5A26" w:rsidRPr="00CD5A26" w:rsidRDefault="00CD5A26" w:rsidP="00CD5A26">
      <w:pPr>
        <w:numPr>
          <w:ilvl w:val="0"/>
          <w:numId w:val="15"/>
        </w:numPr>
      </w:pPr>
      <w:bookmarkStart w:id="50" w:name="_ENREF_32"/>
      <w:r w:rsidRPr="00CD5A26">
        <w:t xml:space="preserve">MANTHORPE, J. &amp; SAMSI, K. 2013. ‘Inherently Risky?’: </w:t>
      </w:r>
      <w:r w:rsidR="00FC5892">
        <w:t>P</w:t>
      </w:r>
      <w:r w:rsidRPr="00CD5A26">
        <w:t xml:space="preserve">ersonal budgets for people with dementia and the risks of financial abuse: </w:t>
      </w:r>
      <w:r w:rsidR="00FC5892">
        <w:t>F</w:t>
      </w:r>
      <w:r w:rsidRPr="00CD5A26">
        <w:t xml:space="preserve">indings from an interview-based study with adult safeguarding coordinators. </w:t>
      </w:r>
      <w:r w:rsidRPr="00CD5A26">
        <w:rPr>
          <w:i/>
        </w:rPr>
        <w:t>British Journal of Social Work</w:t>
      </w:r>
      <w:r w:rsidRPr="00CD5A26">
        <w:t>, 43, 889-903.</w:t>
      </w:r>
      <w:bookmarkEnd w:id="50"/>
    </w:p>
    <w:p w14:paraId="59472E93" w14:textId="77777777" w:rsidR="00CD5A26" w:rsidRPr="00CD5A26" w:rsidRDefault="00CD5A26" w:rsidP="00CD5A26">
      <w:pPr>
        <w:numPr>
          <w:ilvl w:val="0"/>
          <w:numId w:val="15"/>
        </w:numPr>
      </w:pPr>
      <w:bookmarkStart w:id="51" w:name="_ENREF_33"/>
      <w:r w:rsidRPr="00CD5A26">
        <w:t xml:space="preserve">MANTHORPE, J., STEVENS, M., RAPAPORT, J., CHALLIS, D., JACOBS, S., NETTEN, A., JONES, K., KNAPP, M., WILBERFORCE, M. &amp; GLENDINNING, C. 2011. Individual budgets and adult safeguarding: Parallel or converging tracks? Further findings from the evaluation of the Individual Budget pilots. </w:t>
      </w:r>
      <w:r w:rsidRPr="00CD5A26">
        <w:rPr>
          <w:i/>
        </w:rPr>
        <w:t>Journal of Social Work</w:t>
      </w:r>
      <w:r w:rsidRPr="00CD5A26">
        <w:t>, 11, 422-438.</w:t>
      </w:r>
      <w:bookmarkEnd w:id="51"/>
    </w:p>
    <w:p w14:paraId="1AD2AE66" w14:textId="77777777" w:rsidR="00CD5A26" w:rsidRPr="00CD5A26" w:rsidRDefault="00CD5A26" w:rsidP="00CD5A26">
      <w:pPr>
        <w:numPr>
          <w:ilvl w:val="0"/>
          <w:numId w:val="15"/>
        </w:numPr>
      </w:pPr>
      <w:bookmarkStart w:id="52" w:name="_ENREF_34"/>
      <w:r w:rsidRPr="00CD5A26">
        <w:t xml:space="preserve">MANTHORPE, J., STEVENS, M., RAPAPORT, J., HARRIS, J., JACOBS, S., CHALLIS, D., NETTEN, A., KNAPP, M., WILBERFORCE, M. &amp; GLENDINNING, C. 2009. Safeguarding and system change: Early perceptions of the implications for adult protection services of the English individual budgets pilots—A qualitative study. </w:t>
      </w:r>
      <w:r w:rsidRPr="00CD5A26">
        <w:rPr>
          <w:i/>
        </w:rPr>
        <w:t>British Journal of Social Work</w:t>
      </w:r>
      <w:r w:rsidRPr="00CD5A26">
        <w:t>, 39, 1465-1480.</w:t>
      </w:r>
      <w:bookmarkEnd w:id="52"/>
    </w:p>
    <w:p w14:paraId="1F792F3C" w14:textId="77777777" w:rsidR="00CD5A26" w:rsidRPr="00CD5A26" w:rsidRDefault="00CD5A26" w:rsidP="00CD5A26">
      <w:pPr>
        <w:numPr>
          <w:ilvl w:val="0"/>
          <w:numId w:val="15"/>
        </w:numPr>
      </w:pPr>
      <w:bookmarkStart w:id="53" w:name="_ENREF_35"/>
      <w:r w:rsidRPr="00CD5A26">
        <w:t>MANTHORPE, J., STEVENS, M., SAMSI, K., ASPINAL, F., WOOLHAM, J., HUSSEIN, S., ISMAIL, M. &amp; BAXTER, K. 2015. Did anyone notice the transformation of adult social care? An analysis of Safeguarding Adult Board Annual Reports.</w:t>
      </w:r>
      <w:r w:rsidRPr="00CD5A26">
        <w:rPr>
          <w:i/>
        </w:rPr>
        <w:t xml:space="preserve"> The Journal of Adult Protection</w:t>
      </w:r>
      <w:r w:rsidRPr="00CD5A26">
        <w:t>, 17, 19-30.</w:t>
      </w:r>
      <w:bookmarkEnd w:id="53"/>
    </w:p>
    <w:p w14:paraId="0715E2C6" w14:textId="77777777" w:rsidR="00CD5A26" w:rsidRPr="00CD5A26" w:rsidRDefault="00CD5A26" w:rsidP="00CD5A26">
      <w:pPr>
        <w:numPr>
          <w:ilvl w:val="0"/>
          <w:numId w:val="15"/>
        </w:numPr>
      </w:pPr>
      <w:bookmarkStart w:id="54" w:name="_ENREF_36"/>
      <w:r w:rsidRPr="00CD5A26">
        <w:t xml:space="preserve">MARSLAND, D., OAKES, P. &amp; WHITE, C. 2007. Abuse in care? The identification of early indicators of the abuse of people with learning disabilities in residential settings. </w:t>
      </w:r>
      <w:r w:rsidRPr="00CD5A26">
        <w:rPr>
          <w:i/>
        </w:rPr>
        <w:t>The Journal of Adult Protection</w:t>
      </w:r>
      <w:r w:rsidRPr="00CD5A26">
        <w:t>, 9, 6-20.</w:t>
      </w:r>
      <w:bookmarkEnd w:id="54"/>
    </w:p>
    <w:p w14:paraId="6DA96E77" w14:textId="77777777" w:rsidR="00CD5A26" w:rsidRPr="00CD5A26" w:rsidRDefault="00CD5A26" w:rsidP="00CD5A26">
      <w:pPr>
        <w:numPr>
          <w:ilvl w:val="0"/>
          <w:numId w:val="15"/>
        </w:numPr>
      </w:pPr>
      <w:bookmarkStart w:id="55" w:name="_ENREF_37"/>
      <w:r w:rsidRPr="00CD5A26">
        <w:t xml:space="preserve">MAZZUCCHELLI, T. G. 2001. Feel safe: A pilot study of a protective behaviours programme for people with intellectual disability. </w:t>
      </w:r>
      <w:r w:rsidRPr="00CD5A26">
        <w:rPr>
          <w:i/>
        </w:rPr>
        <w:t>Journal of Intellectual and Developmental Disability</w:t>
      </w:r>
      <w:r w:rsidRPr="00CD5A26">
        <w:t>, 26, 115-126.</w:t>
      </w:r>
      <w:bookmarkEnd w:id="55"/>
    </w:p>
    <w:p w14:paraId="17FFAF56" w14:textId="77777777" w:rsidR="00CD5A26" w:rsidRPr="00CD5A26" w:rsidRDefault="00CD5A26" w:rsidP="00CD5A26">
      <w:pPr>
        <w:numPr>
          <w:ilvl w:val="0"/>
          <w:numId w:val="15"/>
        </w:numPr>
      </w:pPr>
      <w:bookmarkStart w:id="56" w:name="_ENREF_38"/>
      <w:r w:rsidRPr="00CD5A26">
        <w:t xml:space="preserve">MCCLELLAND, A., FLICKER, S., NEPVEUX, D., NIXON, S., VO, T., WILSON, C., MARSHALL, Z., TRAVERS, R. &amp; PROUDFOOT, D. 2012. Seeking safer sexual spaces: </w:t>
      </w:r>
      <w:r w:rsidR="00FC5892">
        <w:t>Q</w:t>
      </w:r>
      <w:r w:rsidRPr="00CD5A26">
        <w:t xml:space="preserve">ueer and trans young people labeled with intellectual disabilities and the paradoxical risks of restriction. </w:t>
      </w:r>
      <w:r w:rsidRPr="00CD5A26">
        <w:rPr>
          <w:i/>
        </w:rPr>
        <w:t xml:space="preserve">Journal of </w:t>
      </w:r>
      <w:r w:rsidR="00FC5892" w:rsidRPr="00FC5892">
        <w:rPr>
          <w:i/>
        </w:rPr>
        <w:t>H</w:t>
      </w:r>
      <w:r w:rsidRPr="00CD5A26">
        <w:rPr>
          <w:i/>
        </w:rPr>
        <w:t>omosexuality</w:t>
      </w:r>
      <w:r w:rsidRPr="00CD5A26">
        <w:t>, 59, 808-819.</w:t>
      </w:r>
      <w:bookmarkEnd w:id="56"/>
    </w:p>
    <w:p w14:paraId="46F6437E" w14:textId="77777777" w:rsidR="00CD5A26" w:rsidRPr="00CD5A26" w:rsidRDefault="00CD5A26" w:rsidP="00CD5A26">
      <w:pPr>
        <w:numPr>
          <w:ilvl w:val="0"/>
          <w:numId w:val="15"/>
        </w:numPr>
      </w:pPr>
      <w:bookmarkStart w:id="57" w:name="_ENREF_39"/>
      <w:r w:rsidRPr="00CD5A26">
        <w:t>MEPHAM, S. 2010. Disabled children: The right to feel safe.</w:t>
      </w:r>
      <w:r w:rsidRPr="00CD5A26">
        <w:rPr>
          <w:i/>
        </w:rPr>
        <w:t xml:space="preserve"> Child </w:t>
      </w:r>
      <w:r w:rsidR="00FC5892" w:rsidRPr="00FC5892">
        <w:rPr>
          <w:i/>
        </w:rPr>
        <w:t>C</w:t>
      </w:r>
      <w:r w:rsidRPr="00CD5A26">
        <w:rPr>
          <w:i/>
        </w:rPr>
        <w:t xml:space="preserve">are in </w:t>
      </w:r>
      <w:r w:rsidR="00FC5892" w:rsidRPr="00FC5892">
        <w:rPr>
          <w:i/>
        </w:rPr>
        <w:t>P</w:t>
      </w:r>
      <w:r w:rsidRPr="00CD5A26">
        <w:rPr>
          <w:i/>
        </w:rPr>
        <w:t>ractice</w:t>
      </w:r>
      <w:r w:rsidRPr="00CD5A26">
        <w:t>, 16, 19-34.</w:t>
      </w:r>
      <w:bookmarkEnd w:id="57"/>
    </w:p>
    <w:p w14:paraId="70881D06" w14:textId="77777777" w:rsidR="00CD5A26" w:rsidRPr="00CD5A26" w:rsidRDefault="00CD5A26" w:rsidP="00CD5A26">
      <w:pPr>
        <w:numPr>
          <w:ilvl w:val="0"/>
          <w:numId w:val="15"/>
        </w:numPr>
      </w:pPr>
      <w:bookmarkStart w:id="58" w:name="_ENREF_40"/>
      <w:r w:rsidRPr="00CD5A26">
        <w:t xml:space="preserve">NORTHWAY, R., BENNETT, D., MELSOME, M., FLOOD, S., HOWARTH, J. &amp; JONES, R. 2013a. Keeping safe and providing support: </w:t>
      </w:r>
      <w:r w:rsidR="00FC5892">
        <w:t>A</w:t>
      </w:r>
      <w:r w:rsidRPr="00CD5A26">
        <w:t xml:space="preserve"> participatory survey about abuse and people with intellectual disabilities.</w:t>
      </w:r>
      <w:r w:rsidRPr="00CD5A26">
        <w:rPr>
          <w:i/>
        </w:rPr>
        <w:t xml:space="preserve"> Journal of Policy and Practice in Intellectual Disabilities</w:t>
      </w:r>
      <w:r w:rsidRPr="00CD5A26">
        <w:t>, 10, 236-244.</w:t>
      </w:r>
      <w:bookmarkEnd w:id="58"/>
    </w:p>
    <w:p w14:paraId="30CE70BB" w14:textId="77777777" w:rsidR="00CD5A26" w:rsidRPr="00CD5A26" w:rsidRDefault="00CD5A26" w:rsidP="00CD5A26">
      <w:pPr>
        <w:numPr>
          <w:ilvl w:val="0"/>
          <w:numId w:val="15"/>
        </w:numPr>
      </w:pPr>
      <w:bookmarkStart w:id="59" w:name="_ENREF_41"/>
      <w:r w:rsidRPr="00CD5A26">
        <w:t xml:space="preserve">NORTHWAY, R., JENKINS, R., JONES, V., HOWARTH, J. &amp; HODGES, Z. 2013b. Researching policy and practice to safeguard people with intellectual disabilities from abuse: Some methodological challenges. </w:t>
      </w:r>
      <w:r w:rsidRPr="00CD5A26">
        <w:rPr>
          <w:i/>
        </w:rPr>
        <w:t>Journal of Policy and Practice in Intellectual Disabilities</w:t>
      </w:r>
      <w:r w:rsidRPr="00CD5A26">
        <w:t>, 10, 188-195.</w:t>
      </w:r>
      <w:bookmarkEnd w:id="59"/>
    </w:p>
    <w:p w14:paraId="7AC79204" w14:textId="77777777" w:rsidR="00CD5A26" w:rsidRPr="00CD5A26" w:rsidRDefault="00CD5A26" w:rsidP="00CD5A26">
      <w:pPr>
        <w:numPr>
          <w:ilvl w:val="0"/>
          <w:numId w:val="15"/>
        </w:numPr>
      </w:pPr>
      <w:bookmarkStart w:id="60" w:name="_ENREF_42"/>
      <w:r w:rsidRPr="00CD5A26">
        <w:t xml:space="preserve">OOSTERHOORN, R. &amp; KENDRICK, A. 2001. No sign of harm: Issues for disabled children communicating about abuse. </w:t>
      </w:r>
      <w:r w:rsidRPr="00CD5A26">
        <w:rPr>
          <w:i/>
        </w:rPr>
        <w:t>Child Abuse Review</w:t>
      </w:r>
      <w:r w:rsidRPr="00CD5A26">
        <w:t>, 10, 243-253.</w:t>
      </w:r>
      <w:bookmarkEnd w:id="60"/>
    </w:p>
    <w:p w14:paraId="5539ACB9" w14:textId="77777777" w:rsidR="00CD5A26" w:rsidRPr="00CD5A26" w:rsidRDefault="00CD5A26" w:rsidP="00CD5A26">
      <w:pPr>
        <w:numPr>
          <w:ilvl w:val="0"/>
          <w:numId w:val="15"/>
        </w:numPr>
      </w:pPr>
      <w:bookmarkStart w:id="61" w:name="_ENREF_43"/>
      <w:r w:rsidRPr="00CD5A26">
        <w:t xml:space="preserve">OTTMANN, G., MCVILLY, K., ANDERSON, J., CHAPMAN, J., KARLYAWASAM, I., ROY, A., SATARI, N. &amp; </w:t>
      </w:r>
      <w:r w:rsidR="00FC5892">
        <w:t>STEFANO, A. 2015. Barriers and e</w:t>
      </w:r>
      <w:r w:rsidRPr="00CD5A26">
        <w:t xml:space="preserve">nablers to </w:t>
      </w:r>
      <w:r w:rsidR="00FC5892">
        <w:t>safeguarding children and adults within a d</w:t>
      </w:r>
      <w:r w:rsidRPr="00CD5A26">
        <w:t xml:space="preserve">isability </w:t>
      </w:r>
      <w:r w:rsidR="00FC5892">
        <w:t>services c</w:t>
      </w:r>
      <w:r w:rsidRPr="00CD5A26">
        <w:t xml:space="preserve">ontext: Insights from an Australian Delphi </w:t>
      </w:r>
      <w:r w:rsidR="00FC5892">
        <w:t>s</w:t>
      </w:r>
      <w:r w:rsidRPr="00CD5A26">
        <w:t xml:space="preserve">tudy. </w:t>
      </w:r>
      <w:r w:rsidRPr="00CD5A26">
        <w:rPr>
          <w:i/>
        </w:rPr>
        <w:t>Social Policy &amp; Administration</w:t>
      </w:r>
      <w:r w:rsidRPr="00CD5A26">
        <w:t>.</w:t>
      </w:r>
      <w:bookmarkEnd w:id="61"/>
    </w:p>
    <w:p w14:paraId="20A4060F" w14:textId="77777777" w:rsidR="00CD5A26" w:rsidRPr="00CD5A26" w:rsidRDefault="00CD5A26" w:rsidP="00CD5A26">
      <w:pPr>
        <w:numPr>
          <w:ilvl w:val="0"/>
          <w:numId w:val="15"/>
        </w:numPr>
      </w:pPr>
      <w:bookmarkStart w:id="62" w:name="_ENREF_44"/>
      <w:r w:rsidRPr="00CD5A26">
        <w:t>OTTMANN, G., MCVILLY, K. &amp; MARAGOUDAKI, M</w:t>
      </w:r>
      <w:r w:rsidR="00FC5892">
        <w:t>. 2016. ‘I walk from trouble’: E</w:t>
      </w:r>
      <w:r w:rsidRPr="00CD5A26">
        <w:t xml:space="preserve">xploring safeguards with adults with intellectual disabilities–an Australian qualitative study. </w:t>
      </w:r>
      <w:r w:rsidRPr="00CD5A26">
        <w:rPr>
          <w:i/>
        </w:rPr>
        <w:t>Disability &amp; Society</w:t>
      </w:r>
      <w:r w:rsidRPr="00CD5A26">
        <w:t>, 31, 47-63.</w:t>
      </w:r>
      <w:bookmarkEnd w:id="62"/>
    </w:p>
    <w:p w14:paraId="4F89208D" w14:textId="77777777" w:rsidR="00CD5A26" w:rsidRPr="00CD5A26" w:rsidRDefault="00CD5A26" w:rsidP="00CD5A26">
      <w:pPr>
        <w:numPr>
          <w:ilvl w:val="0"/>
          <w:numId w:val="15"/>
        </w:numPr>
      </w:pPr>
      <w:bookmarkStart w:id="63" w:name="_ENREF_45"/>
      <w:r w:rsidRPr="00CD5A26">
        <w:t xml:space="preserve">PURCAL, C., BEVAN, N., COOPER, S., FISHER, K. R., MELTZER, A., WONG, M. &amp; MEYER, P. 2014. </w:t>
      </w:r>
      <w:r w:rsidRPr="00CD5A26">
        <w:rPr>
          <w:i/>
        </w:rPr>
        <w:t xml:space="preserve">Self-Directed Disability Support: Building People’s Capacity Through Peer Support and Action Research [Final report] </w:t>
      </w:r>
      <w:r w:rsidRPr="00CD5A26">
        <w:t>SPRC Report 7/2014. Sydney: Social Policy Research Centre, UNSW Australia.</w:t>
      </w:r>
      <w:bookmarkEnd w:id="63"/>
    </w:p>
    <w:p w14:paraId="5AB2966A" w14:textId="77777777" w:rsidR="00CD5A26" w:rsidRPr="00CD5A26" w:rsidRDefault="00CD5A26" w:rsidP="00CD5A26">
      <w:pPr>
        <w:numPr>
          <w:ilvl w:val="0"/>
          <w:numId w:val="15"/>
        </w:numPr>
      </w:pPr>
      <w:bookmarkStart w:id="64" w:name="_ENREF_46"/>
      <w:r w:rsidRPr="00CD5A26">
        <w:t xml:space="preserve">REEVE, R., MARJOLIN, A., MUIR, K., POWELL, A., HANNIGAN, N., RAMIA, I. &amp; ETUK, L. E. 2016. </w:t>
      </w:r>
      <w:r w:rsidRPr="00CD5A26">
        <w:rPr>
          <w:i/>
        </w:rPr>
        <w:t>Australia's Social Pulse</w:t>
      </w:r>
      <w:r w:rsidRPr="00CD5A26">
        <w:t>. Centre for Social Impact: UNSW Australia, Sydney and UWA, Perth.</w:t>
      </w:r>
      <w:bookmarkEnd w:id="64"/>
    </w:p>
    <w:p w14:paraId="10414E81" w14:textId="77777777" w:rsidR="00CD5A26" w:rsidRPr="00CD5A26" w:rsidRDefault="00CD5A26" w:rsidP="00CD5A26">
      <w:pPr>
        <w:numPr>
          <w:ilvl w:val="0"/>
          <w:numId w:val="15"/>
        </w:numPr>
      </w:pPr>
      <w:bookmarkStart w:id="65" w:name="_ENREF_47"/>
      <w:r w:rsidRPr="00CD5A26">
        <w:t>RICHARDSON, L., BEADLE-BROWN, J., BRADSHAW, J., GUEST, C., MALOVIC, A. &amp; HIMMERICH, J. 2016. “I felt that I deserved it”–</w:t>
      </w:r>
      <w:r w:rsidR="00FC5892">
        <w:t xml:space="preserve"> E</w:t>
      </w:r>
      <w:r w:rsidRPr="00CD5A26">
        <w:t xml:space="preserve">xperiences and implications of disability hate crime. </w:t>
      </w:r>
      <w:r w:rsidRPr="00CD5A26">
        <w:rPr>
          <w:i/>
        </w:rPr>
        <w:t>Tizard Learning Disability Review</w:t>
      </w:r>
      <w:r w:rsidRPr="00CD5A26">
        <w:t>, 21, 80-88.</w:t>
      </w:r>
      <w:bookmarkEnd w:id="65"/>
    </w:p>
    <w:p w14:paraId="346D7737" w14:textId="77777777" w:rsidR="00CD5A26" w:rsidRPr="00CD5A26" w:rsidRDefault="00CD5A26" w:rsidP="00CD5A26">
      <w:pPr>
        <w:numPr>
          <w:ilvl w:val="0"/>
          <w:numId w:val="15"/>
        </w:numPr>
      </w:pPr>
      <w:bookmarkStart w:id="66" w:name="_ENREF_48"/>
      <w:r w:rsidRPr="00CD5A26">
        <w:t>ROBINSON, S. 2013</w:t>
      </w:r>
      <w:r w:rsidR="00534A20">
        <w:t>.</w:t>
      </w:r>
      <w:r w:rsidRPr="00CD5A26">
        <w:t xml:space="preserve"> </w:t>
      </w:r>
      <w:r w:rsidRPr="00CD5A26">
        <w:rPr>
          <w:i/>
        </w:rPr>
        <w:t>Preventing Emotional and Psychological Abuse and Neglect of People with Intellectual Disability: Stopping Insult and Injury</w:t>
      </w:r>
      <w:r w:rsidRPr="00CD5A26">
        <w:t>, London Jessica Kingsley Publishers.</w:t>
      </w:r>
      <w:bookmarkEnd w:id="66"/>
    </w:p>
    <w:p w14:paraId="66835657" w14:textId="77777777" w:rsidR="00CD5A26" w:rsidRPr="00CD5A26" w:rsidRDefault="00CD5A26" w:rsidP="00CD5A26">
      <w:pPr>
        <w:numPr>
          <w:ilvl w:val="0"/>
          <w:numId w:val="15"/>
        </w:numPr>
      </w:pPr>
      <w:bookmarkStart w:id="67" w:name="_ENREF_49"/>
      <w:r w:rsidRPr="00CD5A26">
        <w:t xml:space="preserve">ROBINSON, S. 2014. Safe at home? Factors influencing the safety strategies used by people with intellectual disability. </w:t>
      </w:r>
      <w:r w:rsidRPr="00CD5A26">
        <w:rPr>
          <w:i/>
        </w:rPr>
        <w:t>Scandinavian Journal of Disability Research</w:t>
      </w:r>
      <w:r w:rsidRPr="00CD5A26">
        <w:t>, 16, 99-113.</w:t>
      </w:r>
      <w:bookmarkEnd w:id="67"/>
    </w:p>
    <w:p w14:paraId="57942DE2" w14:textId="77777777" w:rsidR="00CD5A26" w:rsidRPr="00CD5A26" w:rsidRDefault="00CD5A26" w:rsidP="00CD5A26">
      <w:pPr>
        <w:numPr>
          <w:ilvl w:val="0"/>
          <w:numId w:val="15"/>
        </w:numPr>
      </w:pPr>
      <w:bookmarkStart w:id="68" w:name="_ENREF_50"/>
      <w:r w:rsidRPr="00CD5A26">
        <w:t xml:space="preserve">ROBINSON, S. 2015a. </w:t>
      </w:r>
      <w:r w:rsidRPr="00CD5A26">
        <w:rPr>
          <w:i/>
        </w:rPr>
        <w:t xml:space="preserve">Feeling Safe, Being Safe: </w:t>
      </w:r>
      <w:r w:rsidRPr="00FC5892">
        <w:rPr>
          <w:i/>
        </w:rPr>
        <w:t xml:space="preserve">What is </w:t>
      </w:r>
      <w:r w:rsidR="00FC5892" w:rsidRPr="00FC5892">
        <w:rPr>
          <w:i/>
        </w:rPr>
        <w:t>Important to Children and Young P</w:t>
      </w:r>
      <w:r w:rsidRPr="00FC5892">
        <w:rPr>
          <w:i/>
        </w:rPr>
        <w:t xml:space="preserve">eople with </w:t>
      </w:r>
      <w:r w:rsidR="00FC5892" w:rsidRPr="00FC5892">
        <w:rPr>
          <w:i/>
        </w:rPr>
        <w:t>Dis</w:t>
      </w:r>
      <w:r w:rsidR="00FC5892">
        <w:rPr>
          <w:i/>
        </w:rPr>
        <w:t>ability and High Support Needs about Safety in Institutional S</w:t>
      </w:r>
      <w:r w:rsidRPr="00CD5A26">
        <w:rPr>
          <w:i/>
        </w:rPr>
        <w:t xml:space="preserve">ettings? </w:t>
      </w:r>
      <w:r w:rsidRPr="00CD5A26">
        <w:t>Sydney: Royal Commission into Institutional Responses to Child Sexual Abuse.</w:t>
      </w:r>
      <w:bookmarkEnd w:id="68"/>
    </w:p>
    <w:p w14:paraId="6AB10E9E" w14:textId="77777777" w:rsidR="00CD5A26" w:rsidRPr="00CD5A26" w:rsidRDefault="00CD5A26" w:rsidP="00CD5A26">
      <w:pPr>
        <w:numPr>
          <w:ilvl w:val="0"/>
          <w:numId w:val="15"/>
        </w:numPr>
      </w:pPr>
      <w:bookmarkStart w:id="69" w:name="_ENREF_51"/>
      <w:r w:rsidRPr="00CD5A26">
        <w:t xml:space="preserve">ROBINSON, S. 2015b. Preventing abuse of children and young people with disability under the National Disability Insurance Scheme: </w:t>
      </w:r>
      <w:r w:rsidR="00FC5892">
        <w:t>A b</w:t>
      </w:r>
      <w:r w:rsidRPr="00CD5A26">
        <w:t xml:space="preserve">rave new world? </w:t>
      </w:r>
      <w:r w:rsidRPr="00CD5A26">
        <w:rPr>
          <w:i/>
        </w:rPr>
        <w:t>Australian Social Work</w:t>
      </w:r>
      <w:r w:rsidRPr="00CD5A26">
        <w:t>, 68, 469-482.</w:t>
      </w:r>
      <w:bookmarkEnd w:id="69"/>
    </w:p>
    <w:p w14:paraId="258AA33C" w14:textId="77777777" w:rsidR="00CD5A26" w:rsidRPr="00CD5A26" w:rsidRDefault="00CD5A26" w:rsidP="00CD5A26">
      <w:pPr>
        <w:numPr>
          <w:ilvl w:val="0"/>
          <w:numId w:val="15"/>
        </w:numPr>
      </w:pPr>
      <w:bookmarkStart w:id="70" w:name="_ENREF_52"/>
      <w:r w:rsidRPr="00CD5A26">
        <w:t>ROBINSON, S. &amp; CHENOWETH, L. 2011. Preventing abuse in accommodation services: From procedural response to protective cultures.</w:t>
      </w:r>
      <w:r w:rsidRPr="00CD5A26">
        <w:rPr>
          <w:i/>
        </w:rPr>
        <w:t xml:space="preserve"> Journal of Intellectual Disabilities</w:t>
      </w:r>
      <w:r w:rsidRPr="00CD5A26">
        <w:t>, 15, 63-74.</w:t>
      </w:r>
      <w:bookmarkEnd w:id="70"/>
    </w:p>
    <w:p w14:paraId="52A4F47C" w14:textId="77777777" w:rsidR="00CD5A26" w:rsidRPr="00CD5A26" w:rsidRDefault="00CD5A26" w:rsidP="00CD5A26">
      <w:pPr>
        <w:numPr>
          <w:ilvl w:val="0"/>
          <w:numId w:val="15"/>
        </w:numPr>
      </w:pPr>
      <w:bookmarkStart w:id="71" w:name="_ENREF_53"/>
      <w:r w:rsidRPr="00CD5A26">
        <w:t xml:space="preserve">SAXTON, M., CURRY, M. A., POWERS, L. E., MALEY, S., ECKELS, K. &amp; GROSS, J. 2001. </w:t>
      </w:r>
      <w:r w:rsidR="00FC5892" w:rsidRPr="00FC5892">
        <w:t>'</w:t>
      </w:r>
      <w:r w:rsidRPr="00FC5892">
        <w:t xml:space="preserve">Bring </w:t>
      </w:r>
      <w:r w:rsidR="00FC5892" w:rsidRPr="00FC5892">
        <w:t>my s</w:t>
      </w:r>
      <w:r w:rsidRPr="00FC5892">
        <w:t xml:space="preserve">cooter </w:t>
      </w:r>
      <w:r w:rsidR="00FC5892" w:rsidRPr="00FC5892">
        <w:t>s</w:t>
      </w:r>
      <w:r w:rsidRPr="00FC5892">
        <w:t xml:space="preserve">o I </w:t>
      </w:r>
      <w:r w:rsidR="00FC5892" w:rsidRPr="00FC5892">
        <w:t>c</w:t>
      </w:r>
      <w:r w:rsidRPr="00FC5892">
        <w:t xml:space="preserve">an </w:t>
      </w:r>
      <w:r w:rsidR="00FC5892" w:rsidRPr="00FC5892">
        <w:t>l</w:t>
      </w:r>
      <w:r w:rsidRPr="00FC5892">
        <w:t xml:space="preserve">eave </w:t>
      </w:r>
      <w:r w:rsidR="00FC5892" w:rsidRPr="00FC5892">
        <w:t>y</w:t>
      </w:r>
      <w:r w:rsidRPr="00FC5892">
        <w:t>ou</w:t>
      </w:r>
      <w:r w:rsidR="00FC5892" w:rsidRPr="00FC5892">
        <w:t>':</w:t>
      </w:r>
      <w:r w:rsidRPr="00FC5892">
        <w:t xml:space="preserve"> A </w:t>
      </w:r>
      <w:r w:rsidR="00FC5892">
        <w:t>s</w:t>
      </w:r>
      <w:r w:rsidRPr="00FC5892">
        <w:t xml:space="preserve">tudy of </w:t>
      </w:r>
      <w:r w:rsidR="00FC5892">
        <w:t>d</w:t>
      </w:r>
      <w:r w:rsidRPr="00FC5892">
        <w:t xml:space="preserve">isabled </w:t>
      </w:r>
      <w:r w:rsidR="00FC5892">
        <w:t>women h</w:t>
      </w:r>
      <w:r w:rsidRPr="00FC5892">
        <w:t xml:space="preserve">andling </w:t>
      </w:r>
      <w:r w:rsidR="00FC5892">
        <w:t>ab</w:t>
      </w:r>
      <w:r w:rsidRPr="00FC5892">
        <w:t xml:space="preserve">use by </w:t>
      </w:r>
      <w:r w:rsidR="00FC5892">
        <w:t>p</w:t>
      </w:r>
      <w:r w:rsidRPr="00FC5892">
        <w:t xml:space="preserve">ersonal </w:t>
      </w:r>
      <w:r w:rsidR="00FC5892">
        <w:t>a</w:t>
      </w:r>
      <w:r w:rsidRPr="00FC5892">
        <w:t>s</w:t>
      </w:r>
      <w:r w:rsidR="00FC5892">
        <w:t>sistance p</w:t>
      </w:r>
      <w:r w:rsidRPr="00FC5892">
        <w:t>roviders</w:t>
      </w:r>
      <w:r w:rsidRPr="00CD5A26">
        <w:t xml:space="preserve">. </w:t>
      </w:r>
      <w:r w:rsidRPr="00FC5892">
        <w:rPr>
          <w:i/>
        </w:rPr>
        <w:t>Violence Against Women,</w:t>
      </w:r>
      <w:r w:rsidRPr="00CD5A26">
        <w:t xml:space="preserve"> 7, 393-417.</w:t>
      </w:r>
      <w:bookmarkEnd w:id="71"/>
    </w:p>
    <w:p w14:paraId="1D442206" w14:textId="77777777" w:rsidR="00CD5A26" w:rsidRPr="00CD5A26" w:rsidRDefault="00CD5A26" w:rsidP="00CD5A26">
      <w:pPr>
        <w:numPr>
          <w:ilvl w:val="0"/>
          <w:numId w:val="15"/>
        </w:numPr>
      </w:pPr>
      <w:bookmarkStart w:id="72" w:name="_ENREF_54"/>
      <w:r w:rsidRPr="00CD5A26">
        <w:t xml:space="preserve">SCHAAFSMA, D., KOK, G., STOFFELEN, J. M. &amp; CURFS, L. M. 2015. Identifying effective methods for teaching sex education to individuals with intellectual disabilities: A systematic review. </w:t>
      </w:r>
      <w:r w:rsidR="00FC5892">
        <w:rPr>
          <w:i/>
        </w:rPr>
        <w:t>Journal of S</w:t>
      </w:r>
      <w:r w:rsidRPr="00CD5A26">
        <w:rPr>
          <w:i/>
        </w:rPr>
        <w:t>e</w:t>
      </w:r>
      <w:r w:rsidR="00FC5892">
        <w:rPr>
          <w:i/>
        </w:rPr>
        <w:t>x R</w:t>
      </w:r>
      <w:r w:rsidRPr="00CD5A26">
        <w:rPr>
          <w:i/>
        </w:rPr>
        <w:t>esearch</w:t>
      </w:r>
      <w:r w:rsidRPr="00CD5A26">
        <w:t>, 52, 412-432.</w:t>
      </w:r>
      <w:bookmarkEnd w:id="72"/>
    </w:p>
    <w:p w14:paraId="59DA0603" w14:textId="77777777" w:rsidR="00CD5A26" w:rsidRPr="00CD5A26" w:rsidRDefault="00CD5A26" w:rsidP="00CD5A26">
      <w:pPr>
        <w:numPr>
          <w:ilvl w:val="0"/>
          <w:numId w:val="15"/>
        </w:numPr>
      </w:pPr>
      <w:bookmarkStart w:id="73" w:name="_ENREF_55"/>
      <w:r w:rsidRPr="00CD5A26">
        <w:t>SCHAAFSMA, D., KOK, G., STOFFELEN, J. M., VAN DOORN, P. &amp; CURFS, L. M. 2014. Identifying the important factors associated with teaching sex education to people with intellectual disability: A cross-sectional survey among paid care staff.</w:t>
      </w:r>
      <w:r w:rsidRPr="00CD5A26">
        <w:rPr>
          <w:i/>
        </w:rPr>
        <w:t xml:space="preserve"> Journal of Intellectual and Developmental Disability</w:t>
      </w:r>
      <w:r w:rsidRPr="00CD5A26">
        <w:t>, 39, 157-166.</w:t>
      </w:r>
      <w:bookmarkEnd w:id="73"/>
    </w:p>
    <w:p w14:paraId="1C258605" w14:textId="77777777" w:rsidR="00CD5A26" w:rsidRPr="00CD5A26" w:rsidRDefault="00CD5A26" w:rsidP="00CD5A26">
      <w:pPr>
        <w:numPr>
          <w:ilvl w:val="0"/>
          <w:numId w:val="15"/>
        </w:numPr>
      </w:pPr>
      <w:bookmarkStart w:id="74" w:name="_ENREF_56"/>
      <w:r w:rsidRPr="00CD5A26">
        <w:t xml:space="preserve">STEVENS, M., ASPINAL, F. J., WOOLHAM, J., MANTHORPE, J., HUSSEIN, S., SAMSI, K., BAXTER, K. &amp; ISMAIL, M. 2014. </w:t>
      </w:r>
      <w:r w:rsidR="00FC5892">
        <w:rPr>
          <w:i/>
        </w:rPr>
        <w:t>Risk, S</w:t>
      </w:r>
      <w:r w:rsidRPr="00CD5A26">
        <w:rPr>
          <w:i/>
        </w:rPr>
        <w:t>afeguarding an</w:t>
      </w:r>
      <w:r w:rsidR="00FC5892">
        <w:rPr>
          <w:i/>
        </w:rPr>
        <w:t>d Personal Budgets: E</w:t>
      </w:r>
      <w:r w:rsidRPr="00CD5A26">
        <w:rPr>
          <w:i/>
        </w:rPr>
        <w:t xml:space="preserve">xploring </w:t>
      </w:r>
      <w:r w:rsidR="00FC5892">
        <w:t>R</w:t>
      </w:r>
      <w:r w:rsidR="00FC5892">
        <w:rPr>
          <w:i/>
        </w:rPr>
        <w:t>elationships and I</w:t>
      </w:r>
      <w:r w:rsidRPr="00CD5A26">
        <w:rPr>
          <w:i/>
        </w:rPr>
        <w:t xml:space="preserve">dentifying </w:t>
      </w:r>
      <w:r w:rsidR="00FC5892">
        <w:t>G</w:t>
      </w:r>
      <w:r w:rsidR="00FC5892">
        <w:rPr>
          <w:i/>
        </w:rPr>
        <w:t>ood P</w:t>
      </w:r>
      <w:r w:rsidRPr="00CD5A26">
        <w:rPr>
          <w:i/>
        </w:rPr>
        <w:t>ractice</w:t>
      </w:r>
      <w:r w:rsidRPr="00CD5A26">
        <w:t>.</w:t>
      </w:r>
      <w:bookmarkEnd w:id="74"/>
      <w:r w:rsidR="00FC5892">
        <w:t xml:space="preserve"> London: NIHR School for Social Care Research.</w:t>
      </w:r>
    </w:p>
    <w:p w14:paraId="66933AFE" w14:textId="77777777" w:rsidR="00CD5A26" w:rsidRPr="00CD5A26" w:rsidRDefault="00CD5A26" w:rsidP="00CD5A26">
      <w:pPr>
        <w:numPr>
          <w:ilvl w:val="0"/>
          <w:numId w:val="15"/>
        </w:numPr>
      </w:pPr>
      <w:bookmarkStart w:id="75" w:name="_ENREF_57"/>
      <w:r w:rsidRPr="00CD5A26">
        <w:t>STEVENS, M., WOOLHAM, J., MANTHORPE, J., ASPINALL, F., HUSSEIN, S., BAXTER, K., SAMSI, K. &amp; ISMAIL, M. 2016. Implementing safeguarding and personalisation in social work: Findings from practice.</w:t>
      </w:r>
      <w:r w:rsidRPr="00CD5A26">
        <w:rPr>
          <w:i/>
        </w:rPr>
        <w:t xml:space="preserve"> Journal of Social Work</w:t>
      </w:r>
      <w:r w:rsidRPr="00CD5A26">
        <w:t xml:space="preserve">, </w:t>
      </w:r>
      <w:bookmarkEnd w:id="75"/>
      <w:r w:rsidR="00FC5892">
        <w:t>early view, 1-20</w:t>
      </w:r>
      <w:r w:rsidR="00FC5892" w:rsidRPr="00CD5A26">
        <w:t>.</w:t>
      </w:r>
    </w:p>
    <w:p w14:paraId="394AFF8F" w14:textId="77777777" w:rsidR="00CD5A26" w:rsidRPr="00CD5A26" w:rsidRDefault="00CD5A26" w:rsidP="00CD5A26">
      <w:pPr>
        <w:numPr>
          <w:ilvl w:val="0"/>
          <w:numId w:val="15"/>
        </w:numPr>
      </w:pPr>
      <w:bookmarkStart w:id="76" w:name="_ENREF_58"/>
      <w:r w:rsidRPr="00CD5A26">
        <w:t xml:space="preserve">TAYLOR, J., CAMERON, A., JONES, C., FRANKLIN, A., STALKER, K. &amp; FRY, D. 2015. </w:t>
      </w:r>
      <w:r w:rsidRPr="00CD5A26">
        <w:rPr>
          <w:i/>
        </w:rPr>
        <w:t>Deaf and Disabled Children Talking About Child Protection</w:t>
      </w:r>
      <w:r w:rsidRPr="00CD5A26">
        <w:t>. Edin</w:t>
      </w:r>
      <w:r w:rsidR="00FC5892">
        <w:t>burgh</w:t>
      </w:r>
      <w:r w:rsidRPr="00CD5A26">
        <w:t>: University of Edinburgh/NSPCC Child Protection Research Centre.</w:t>
      </w:r>
      <w:bookmarkEnd w:id="76"/>
    </w:p>
    <w:p w14:paraId="0D3AF043" w14:textId="77777777" w:rsidR="00CD5A26" w:rsidRPr="00CD5A26" w:rsidRDefault="00CD5A26" w:rsidP="00CD5A26">
      <w:pPr>
        <w:numPr>
          <w:ilvl w:val="0"/>
          <w:numId w:val="15"/>
        </w:numPr>
      </w:pPr>
      <w:bookmarkStart w:id="77" w:name="_ENREF_59"/>
      <w:r w:rsidRPr="00CD5A26">
        <w:t xml:space="preserve">WARRINGTON, C. 2013. </w:t>
      </w:r>
      <w:r w:rsidRPr="00CD5A26">
        <w:rPr>
          <w:i/>
        </w:rPr>
        <w:t>Partners in Care? Sexually Exploited Young People’s Inclusion and Exclusion from Decision Making about Safeguarding. Critical Perspectives on Child Sexual Exploitation and Related Trafficking</w:t>
      </w:r>
      <w:r w:rsidRPr="00CD5A26">
        <w:t>. Springer.</w:t>
      </w:r>
      <w:bookmarkEnd w:id="77"/>
    </w:p>
    <w:p w14:paraId="291FEF9E" w14:textId="77777777" w:rsidR="00CD5A26" w:rsidRPr="00CD5A26" w:rsidRDefault="00CD5A26" w:rsidP="00CD5A26">
      <w:pPr>
        <w:numPr>
          <w:ilvl w:val="0"/>
          <w:numId w:val="15"/>
        </w:numPr>
      </w:pPr>
    </w:p>
    <w:p w14:paraId="4938397E" w14:textId="77777777" w:rsidR="00CD5A26" w:rsidRPr="00E77686" w:rsidRDefault="00CD5A26" w:rsidP="00CD5A26">
      <w:pPr>
        <w:numPr>
          <w:ilvl w:val="0"/>
          <w:numId w:val="15"/>
        </w:numPr>
      </w:pPr>
      <w:r w:rsidRPr="00E77686">
        <w:fldChar w:fldCharType="end"/>
      </w:r>
    </w:p>
    <w:sectPr w:rsidR="00CD5A26" w:rsidRPr="00E77686" w:rsidSect="006772E1">
      <w:pgSz w:w="11906" w:h="16838" w:code="9"/>
      <w:pgMar w:top="1418" w:right="1134" w:bottom="1418" w:left="1134" w:header="680" w:footer="28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PROJECT.MODSAVE.DOSAVE"/>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80BE" w14:textId="77777777" w:rsidR="004705CE" w:rsidRPr="000D4EDE" w:rsidRDefault="004705CE" w:rsidP="000D4EDE">
      <w:r>
        <w:separator/>
      </w:r>
    </w:p>
  </w:endnote>
  <w:endnote w:type="continuationSeparator" w:id="0">
    <w:p w14:paraId="3E702C65" w14:textId="77777777" w:rsidR="004705CE" w:rsidRPr="000D4EDE" w:rsidRDefault="004705C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dvPSA5EF">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648138"/>
      <w:docPartObj>
        <w:docPartGallery w:val="Page Numbers (Bottom of Page)"/>
        <w:docPartUnique/>
      </w:docPartObj>
    </w:sdtPr>
    <w:sdtEndPr>
      <w:rPr>
        <w:noProof/>
      </w:rPr>
    </w:sdtEndPr>
    <w:sdtContent>
      <w:p w14:paraId="51647094" w14:textId="77777777" w:rsidR="000610A1" w:rsidRDefault="000610A1" w:rsidP="0023243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11E9" w14:textId="77777777" w:rsidR="000610A1" w:rsidRDefault="000610A1" w:rsidP="00534A20">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81FE" w14:textId="77777777" w:rsidR="000610A1" w:rsidRDefault="00AA5831" w:rsidP="008B51AF">
    <w:r w:rsidRPr="003F77E2">
      <w:rPr>
        <w:noProof/>
        <w:lang w:eastAsia="en-AU"/>
      </w:rPr>
      <w:drawing>
        <wp:anchor distT="0" distB="0" distL="114300" distR="114300" simplePos="0" relativeHeight="251677696" behindDoc="0" locked="0" layoutInCell="1" allowOverlap="1" wp14:anchorId="04575798" wp14:editId="25C81CBD">
          <wp:simplePos x="0" y="0"/>
          <wp:positionH relativeFrom="column">
            <wp:posOffset>3375660</wp:posOffset>
          </wp:positionH>
          <wp:positionV relativeFrom="paragraph">
            <wp:posOffset>-916940</wp:posOffset>
          </wp:positionV>
          <wp:extent cx="1133475" cy="11334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unsw.edu.au\oneunsw\FAS\SPR\All Staff\PUBLICATIONS\Reports\2017\Literature reviews\Skilled to Thrive\NCOSS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4219" cy="1134219"/>
                  </a:xfrm>
                  <a:prstGeom prst="rect">
                    <a:avLst/>
                  </a:prstGeom>
                  <a:noFill/>
                  <a:ln>
                    <a:noFill/>
                  </a:ln>
                </pic:spPr>
              </pic:pic>
            </a:graphicData>
          </a:graphic>
          <wp14:sizeRelH relativeFrom="page">
            <wp14:pctWidth>0</wp14:pctWidth>
          </wp14:sizeRelH>
          <wp14:sizeRelV relativeFrom="page">
            <wp14:pctHeight>0</wp14:pctHeight>
          </wp14:sizeRelV>
        </wp:anchor>
      </w:drawing>
    </w:r>
    <w:r w:rsidR="003F77E2">
      <w:rPr>
        <w:noProof/>
        <w:lang w:eastAsia="en-AU"/>
      </w:rPr>
      <w:drawing>
        <wp:anchor distT="0" distB="0" distL="114300" distR="114300" simplePos="0" relativeHeight="251676672" behindDoc="0" locked="0" layoutInCell="1" allowOverlap="1" wp14:anchorId="0903532F" wp14:editId="5F9AE15A">
          <wp:simplePos x="0" y="0"/>
          <wp:positionH relativeFrom="margin">
            <wp:posOffset>1908810</wp:posOffset>
          </wp:positionH>
          <wp:positionV relativeFrom="paragraph">
            <wp:posOffset>-873760</wp:posOffset>
          </wp:positionV>
          <wp:extent cx="1169035" cy="1164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YP logo.png"/>
                  <pic:cNvPicPr/>
                </pic:nvPicPr>
                <pic:blipFill>
                  <a:blip r:embed="rId2">
                    <a:extLst>
                      <a:ext uri="{28A0092B-C50C-407E-A947-70E740481C1C}">
                        <a14:useLocalDpi xmlns:a14="http://schemas.microsoft.com/office/drawing/2010/main" val="0"/>
                      </a:ext>
                    </a:extLst>
                  </a:blip>
                  <a:stretch>
                    <a:fillRect/>
                  </a:stretch>
                </pic:blipFill>
                <pic:spPr>
                  <a:xfrm>
                    <a:off x="0" y="0"/>
                    <a:ext cx="1169035" cy="1164590"/>
                  </a:xfrm>
                  <a:prstGeom prst="rect">
                    <a:avLst/>
                  </a:prstGeom>
                </pic:spPr>
              </pic:pic>
            </a:graphicData>
          </a:graphic>
          <wp14:sizeRelH relativeFrom="page">
            <wp14:pctWidth>0</wp14:pctWidth>
          </wp14:sizeRelH>
          <wp14:sizeRelV relativeFrom="page">
            <wp14:pctHeight>0</wp14:pctHeight>
          </wp14:sizeRelV>
        </wp:anchor>
      </w:drawing>
    </w:r>
    <w:r w:rsidR="003F77E2">
      <w:rPr>
        <w:noProof/>
        <w:lang w:eastAsia="en-AU"/>
      </w:rPr>
      <w:drawing>
        <wp:anchor distT="0" distB="0" distL="114300" distR="114300" simplePos="0" relativeHeight="251678720" behindDoc="0" locked="0" layoutInCell="1" allowOverlap="1" wp14:anchorId="53C42B23" wp14:editId="27B7B7B5">
          <wp:simplePos x="0" y="0"/>
          <wp:positionH relativeFrom="column">
            <wp:posOffset>-205740</wp:posOffset>
          </wp:positionH>
          <wp:positionV relativeFrom="paragraph">
            <wp:posOffset>-545465</wp:posOffset>
          </wp:positionV>
          <wp:extent cx="1819275" cy="7277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 logo.png"/>
                  <pic:cNvPicPr/>
                </pic:nvPicPr>
                <pic:blipFill>
                  <a:blip r:embed="rId3">
                    <a:extLst>
                      <a:ext uri="{28A0092B-C50C-407E-A947-70E740481C1C}">
                        <a14:useLocalDpi xmlns:a14="http://schemas.microsoft.com/office/drawing/2010/main" val="0"/>
                      </a:ext>
                    </a:extLst>
                  </a:blip>
                  <a:stretch>
                    <a:fillRect/>
                  </a:stretch>
                </pic:blipFill>
                <pic:spPr>
                  <a:xfrm>
                    <a:off x="0" y="0"/>
                    <a:ext cx="1819275" cy="727710"/>
                  </a:xfrm>
                  <a:prstGeom prst="rect">
                    <a:avLst/>
                  </a:prstGeom>
                </pic:spPr>
              </pic:pic>
            </a:graphicData>
          </a:graphic>
          <wp14:sizeRelH relativeFrom="page">
            <wp14:pctWidth>0</wp14:pctWidth>
          </wp14:sizeRelH>
          <wp14:sizeRelV relativeFrom="page">
            <wp14:pctHeight>0</wp14:pctHeight>
          </wp14:sizeRelV>
        </wp:anchor>
      </w:drawing>
    </w:r>
    <w:r w:rsidR="003F77E2">
      <w:rPr>
        <w:noProof/>
        <w:lang w:eastAsia="en-AU"/>
      </w:rPr>
      <mc:AlternateContent>
        <mc:Choice Requires="wpg">
          <w:drawing>
            <wp:anchor distT="0" distB="0" distL="114300" distR="114300" simplePos="0" relativeHeight="251661312" behindDoc="0" locked="0" layoutInCell="1" allowOverlap="1" wp14:anchorId="4E0F5400" wp14:editId="3D165526">
              <wp:simplePos x="0" y="0"/>
              <wp:positionH relativeFrom="page">
                <wp:posOffset>5497195</wp:posOffset>
              </wp:positionH>
              <wp:positionV relativeFrom="page">
                <wp:posOffset>9620145</wp:posOffset>
              </wp:positionV>
              <wp:extent cx="1680210" cy="521335"/>
              <wp:effectExtent l="0" t="0" r="15240" b="0"/>
              <wp:wrapSquare wrapText="bothSides"/>
              <wp:docPr id="24985" name="Group 24985" descr="SPRC Logo" title="SPRC Logo"/>
              <wp:cNvGraphicFramePr/>
              <a:graphic xmlns:a="http://schemas.openxmlformats.org/drawingml/2006/main">
                <a:graphicData uri="http://schemas.microsoft.com/office/word/2010/wordprocessingGroup">
                  <wpg:wgp>
                    <wpg:cNvGrpSpPr/>
                    <wpg:grpSpPr>
                      <a:xfrm>
                        <a:off x="0" y="0"/>
                        <a:ext cx="1680210" cy="521335"/>
                        <a:chOff x="0" y="0"/>
                        <a:chExt cx="1943989" cy="628412"/>
                      </a:xfrm>
                    </wpg:grpSpPr>
                    <wps:wsp>
                      <wps:cNvPr id="14" name="Shape 14"/>
                      <wps:cNvSpPr/>
                      <wps:spPr>
                        <a:xfrm>
                          <a:off x="6101" y="0"/>
                          <a:ext cx="213004" cy="393700"/>
                        </a:xfrm>
                        <a:custGeom>
                          <a:avLst/>
                          <a:gdLst/>
                          <a:ahLst/>
                          <a:cxnLst/>
                          <a:rect l="0" t="0" r="0" b="0"/>
                          <a:pathLst>
                            <a:path w="213004" h="393700">
                              <a:moveTo>
                                <a:pt x="174942" y="0"/>
                              </a:moveTo>
                              <a:lnTo>
                                <a:pt x="187833" y="41186"/>
                              </a:lnTo>
                              <a:cubicBezTo>
                                <a:pt x="150394" y="46533"/>
                                <a:pt x="59538" y="72212"/>
                                <a:pt x="59538" y="117145"/>
                              </a:cubicBezTo>
                              <a:cubicBezTo>
                                <a:pt x="59538" y="144958"/>
                                <a:pt x="103124" y="162078"/>
                                <a:pt x="128905" y="175451"/>
                              </a:cubicBezTo>
                              <a:cubicBezTo>
                                <a:pt x="175565" y="199517"/>
                                <a:pt x="213004" y="216636"/>
                                <a:pt x="213004" y="259969"/>
                              </a:cubicBezTo>
                              <a:cubicBezTo>
                                <a:pt x="213004" y="312395"/>
                                <a:pt x="149161" y="369633"/>
                                <a:pt x="31305" y="393700"/>
                              </a:cubicBezTo>
                              <a:lnTo>
                                <a:pt x="15342" y="353581"/>
                              </a:lnTo>
                              <a:cubicBezTo>
                                <a:pt x="75502" y="342888"/>
                                <a:pt x="152235" y="316141"/>
                                <a:pt x="152235" y="272809"/>
                              </a:cubicBezTo>
                              <a:cubicBezTo>
                                <a:pt x="152235" y="246063"/>
                                <a:pt x="132588" y="232156"/>
                                <a:pt x="88392" y="211290"/>
                              </a:cubicBezTo>
                              <a:cubicBezTo>
                                <a:pt x="36208" y="186690"/>
                                <a:pt x="0" y="164224"/>
                                <a:pt x="0" y="126238"/>
                              </a:cubicBezTo>
                              <a:cubicBezTo>
                                <a:pt x="0" y="69532"/>
                                <a:pt x="90843" y="16573"/>
                                <a:pt x="174942"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5" name="Shape 15"/>
                      <wps:cNvSpPr/>
                      <wps:spPr>
                        <a:xfrm>
                          <a:off x="376221" y="9632"/>
                          <a:ext cx="123698" cy="374447"/>
                        </a:xfrm>
                        <a:custGeom>
                          <a:avLst/>
                          <a:gdLst/>
                          <a:ahLst/>
                          <a:cxnLst/>
                          <a:rect l="0" t="0" r="0" b="0"/>
                          <a:pathLst>
                            <a:path w="123698" h="374447">
                              <a:moveTo>
                                <a:pt x="1232" y="0"/>
                              </a:moveTo>
                              <a:cubicBezTo>
                                <a:pt x="27013" y="0"/>
                                <a:pt x="78575" y="1600"/>
                                <a:pt x="116637" y="6947"/>
                              </a:cubicBezTo>
                              <a:lnTo>
                                <a:pt x="123698" y="8603"/>
                              </a:lnTo>
                              <a:lnTo>
                                <a:pt x="123698" y="48775"/>
                              </a:lnTo>
                              <a:lnTo>
                                <a:pt x="97856" y="42734"/>
                              </a:lnTo>
                              <a:cubicBezTo>
                                <a:pt x="85703" y="40895"/>
                                <a:pt x="71977" y="39774"/>
                                <a:pt x="56477" y="39573"/>
                              </a:cubicBezTo>
                              <a:lnTo>
                                <a:pt x="56477" y="225196"/>
                              </a:lnTo>
                              <a:cubicBezTo>
                                <a:pt x="75812" y="221586"/>
                                <a:pt x="93883" y="216739"/>
                                <a:pt x="110112" y="210579"/>
                              </a:cubicBezTo>
                              <a:lnTo>
                                <a:pt x="123698" y="203404"/>
                              </a:lnTo>
                              <a:lnTo>
                                <a:pt x="123698" y="243901"/>
                              </a:lnTo>
                              <a:lnTo>
                                <a:pt x="56477" y="262648"/>
                              </a:lnTo>
                              <a:lnTo>
                                <a:pt x="56477" y="294208"/>
                              </a:lnTo>
                              <a:cubicBezTo>
                                <a:pt x="56477" y="304902"/>
                                <a:pt x="56477" y="363207"/>
                                <a:pt x="57708" y="374447"/>
                              </a:cubicBezTo>
                              <a:lnTo>
                                <a:pt x="0" y="374447"/>
                              </a:lnTo>
                              <a:cubicBezTo>
                                <a:pt x="1232" y="351434"/>
                                <a:pt x="3073" y="222529"/>
                                <a:pt x="3073" y="184544"/>
                              </a:cubicBezTo>
                              <a:lnTo>
                                <a:pt x="3073" y="125705"/>
                              </a:lnTo>
                              <a:cubicBezTo>
                                <a:pt x="3073" y="113399"/>
                                <a:pt x="1232" y="8013"/>
                                <a:pt x="1232"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6" name="Shape 16"/>
                      <wps:cNvSpPr/>
                      <wps:spPr>
                        <a:xfrm>
                          <a:off x="499919" y="18235"/>
                          <a:ext cx="126759" cy="235298"/>
                        </a:xfrm>
                        <a:custGeom>
                          <a:avLst/>
                          <a:gdLst/>
                          <a:ahLst/>
                          <a:cxnLst/>
                          <a:rect l="0" t="0" r="0" b="0"/>
                          <a:pathLst>
                            <a:path w="126759" h="235298">
                              <a:moveTo>
                                <a:pt x="0" y="0"/>
                              </a:moveTo>
                              <a:lnTo>
                                <a:pt x="48551" y="11385"/>
                              </a:lnTo>
                              <a:cubicBezTo>
                                <a:pt x="97755" y="28635"/>
                                <a:pt x="126759" y="58520"/>
                                <a:pt x="126759" y="101049"/>
                              </a:cubicBezTo>
                              <a:cubicBezTo>
                                <a:pt x="126759" y="156018"/>
                                <a:pt x="83253" y="203157"/>
                                <a:pt x="12294" y="231869"/>
                              </a:cubicBezTo>
                              <a:lnTo>
                                <a:pt x="0" y="235298"/>
                              </a:lnTo>
                              <a:lnTo>
                                <a:pt x="0" y="194801"/>
                              </a:lnTo>
                              <a:lnTo>
                                <a:pt x="29004" y="179484"/>
                              </a:lnTo>
                              <a:cubicBezTo>
                                <a:pt x="52946" y="161765"/>
                                <a:pt x="67221" y="138495"/>
                                <a:pt x="67221" y="109076"/>
                              </a:cubicBezTo>
                              <a:cubicBezTo>
                                <a:pt x="67221" y="97036"/>
                                <a:pt x="61349" y="60029"/>
                                <a:pt x="6099" y="41597"/>
                              </a:cubicBezTo>
                              <a:lnTo>
                                <a:pt x="0" y="40172"/>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7" name="Shape 17"/>
                      <wps:cNvSpPr/>
                      <wps:spPr>
                        <a:xfrm>
                          <a:off x="761692" y="9630"/>
                          <a:ext cx="312470" cy="384073"/>
                        </a:xfrm>
                        <a:custGeom>
                          <a:avLst/>
                          <a:gdLst/>
                          <a:ahLst/>
                          <a:cxnLst/>
                          <a:rect l="0" t="0" r="0" b="0"/>
                          <a:pathLst>
                            <a:path w="312470" h="384073">
                              <a:moveTo>
                                <a:pt x="0" y="0"/>
                              </a:moveTo>
                              <a:cubicBezTo>
                                <a:pt x="28854" y="0"/>
                                <a:pt x="80429" y="534"/>
                                <a:pt x="127698" y="5347"/>
                              </a:cubicBezTo>
                              <a:cubicBezTo>
                                <a:pt x="208712" y="13907"/>
                                <a:pt x="254762" y="43853"/>
                                <a:pt x="254762" y="89333"/>
                              </a:cubicBezTo>
                              <a:cubicBezTo>
                                <a:pt x="254762" y="134798"/>
                                <a:pt x="219773" y="170104"/>
                                <a:pt x="169430" y="197917"/>
                              </a:cubicBezTo>
                              <a:cubicBezTo>
                                <a:pt x="184785" y="216104"/>
                                <a:pt x="295275" y="335395"/>
                                <a:pt x="312470" y="351448"/>
                              </a:cubicBezTo>
                              <a:lnTo>
                                <a:pt x="265811" y="384073"/>
                              </a:lnTo>
                              <a:cubicBezTo>
                                <a:pt x="259067" y="376581"/>
                                <a:pt x="120942" y="218784"/>
                                <a:pt x="102527" y="196317"/>
                              </a:cubicBezTo>
                              <a:cubicBezTo>
                                <a:pt x="133223" y="181877"/>
                                <a:pt x="194602" y="149238"/>
                                <a:pt x="194602" y="96813"/>
                              </a:cubicBezTo>
                              <a:cubicBezTo>
                                <a:pt x="194602" y="72746"/>
                                <a:pt x="174346" y="36906"/>
                                <a:pt x="58331" y="35840"/>
                              </a:cubicBezTo>
                              <a:lnTo>
                                <a:pt x="58331" y="210757"/>
                              </a:lnTo>
                              <a:cubicBezTo>
                                <a:pt x="58331" y="231077"/>
                                <a:pt x="60160" y="366421"/>
                                <a:pt x="61392" y="374447"/>
                              </a:cubicBezTo>
                              <a:lnTo>
                                <a:pt x="1854" y="374447"/>
                              </a:lnTo>
                              <a:cubicBezTo>
                                <a:pt x="4305" y="361607"/>
                                <a:pt x="3073" y="192037"/>
                                <a:pt x="3073" y="180797"/>
                              </a:cubicBezTo>
                              <a:lnTo>
                                <a:pt x="3073" y="136932"/>
                              </a:lnTo>
                              <a:cubicBezTo>
                                <a:pt x="3073" y="120892"/>
                                <a:pt x="1854" y="10161"/>
                                <a:pt x="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8" name="Shape 18"/>
                      <wps:cNvSpPr/>
                      <wps:spPr>
                        <a:xfrm>
                          <a:off x="1143483" y="1062"/>
                          <a:ext cx="344996" cy="391567"/>
                        </a:xfrm>
                        <a:custGeom>
                          <a:avLst/>
                          <a:gdLst/>
                          <a:ahLst/>
                          <a:cxnLst/>
                          <a:rect l="0" t="0" r="0" b="0"/>
                          <a:pathLst>
                            <a:path w="344996" h="391567">
                              <a:moveTo>
                                <a:pt x="309385" y="0"/>
                              </a:moveTo>
                              <a:lnTo>
                                <a:pt x="318605" y="44933"/>
                              </a:lnTo>
                              <a:cubicBezTo>
                                <a:pt x="178029" y="58852"/>
                                <a:pt x="62001" y="132131"/>
                                <a:pt x="62001" y="224142"/>
                              </a:cubicBezTo>
                              <a:cubicBezTo>
                                <a:pt x="62001" y="289395"/>
                                <a:pt x="120929" y="350913"/>
                                <a:pt x="267640" y="350913"/>
                              </a:cubicBezTo>
                              <a:cubicBezTo>
                                <a:pt x="292202" y="350913"/>
                                <a:pt x="317983" y="347700"/>
                                <a:pt x="338849" y="343433"/>
                              </a:cubicBezTo>
                              <a:lnTo>
                                <a:pt x="344996" y="386220"/>
                              </a:lnTo>
                              <a:cubicBezTo>
                                <a:pt x="326580" y="389433"/>
                                <a:pt x="298336" y="391567"/>
                                <a:pt x="261506" y="391567"/>
                              </a:cubicBezTo>
                              <a:cubicBezTo>
                                <a:pt x="52185" y="391567"/>
                                <a:pt x="0" y="282448"/>
                                <a:pt x="0" y="233235"/>
                              </a:cubicBezTo>
                              <a:cubicBezTo>
                                <a:pt x="0" y="145504"/>
                                <a:pt x="92697" y="33706"/>
                                <a:pt x="30938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9" name="Shape 19"/>
                      <wps:cNvSpPr/>
                      <wps:spPr>
                        <a:xfrm>
                          <a:off x="0" y="484129"/>
                          <a:ext cx="66093" cy="110833"/>
                        </a:xfrm>
                        <a:custGeom>
                          <a:avLst/>
                          <a:gdLst/>
                          <a:ahLst/>
                          <a:cxnLst/>
                          <a:rect l="0" t="0" r="0" b="0"/>
                          <a:pathLst>
                            <a:path w="66093" h="110833">
                              <a:moveTo>
                                <a:pt x="37581" y="0"/>
                              </a:moveTo>
                              <a:cubicBezTo>
                                <a:pt x="48757" y="0"/>
                                <a:pt x="56860" y="2540"/>
                                <a:pt x="61712" y="5245"/>
                              </a:cubicBezTo>
                              <a:lnTo>
                                <a:pt x="57826" y="16549"/>
                              </a:lnTo>
                              <a:cubicBezTo>
                                <a:pt x="54270" y="14643"/>
                                <a:pt x="46980" y="11456"/>
                                <a:pt x="37099" y="11456"/>
                              </a:cubicBezTo>
                              <a:cubicBezTo>
                                <a:pt x="22189" y="11456"/>
                                <a:pt x="16512" y="20218"/>
                                <a:pt x="16512" y="27546"/>
                              </a:cubicBezTo>
                              <a:cubicBezTo>
                                <a:pt x="16512" y="37579"/>
                                <a:pt x="23167" y="42520"/>
                                <a:pt x="38229" y="48247"/>
                              </a:cubicBezTo>
                              <a:cubicBezTo>
                                <a:pt x="56695" y="55258"/>
                                <a:pt x="66093" y="64021"/>
                                <a:pt x="66093" y="79781"/>
                              </a:cubicBezTo>
                              <a:cubicBezTo>
                                <a:pt x="66093" y="96342"/>
                                <a:pt x="53622" y="110833"/>
                                <a:pt x="27853" y="110833"/>
                              </a:cubicBezTo>
                              <a:cubicBezTo>
                                <a:pt x="22589" y="110833"/>
                                <a:pt x="17084" y="110036"/>
                                <a:pt x="12164" y="108762"/>
                              </a:cubicBezTo>
                              <a:lnTo>
                                <a:pt x="0" y="103827"/>
                              </a:lnTo>
                              <a:lnTo>
                                <a:pt x="0" y="103788"/>
                              </a:lnTo>
                              <a:lnTo>
                                <a:pt x="3558" y="92202"/>
                              </a:lnTo>
                              <a:cubicBezTo>
                                <a:pt x="9870" y="96025"/>
                                <a:pt x="19116" y="99200"/>
                                <a:pt x="28831" y="99200"/>
                              </a:cubicBezTo>
                              <a:cubicBezTo>
                                <a:pt x="43246" y="99200"/>
                                <a:pt x="51679" y="91719"/>
                                <a:pt x="51679" y="80899"/>
                              </a:cubicBezTo>
                              <a:cubicBezTo>
                                <a:pt x="51679" y="70866"/>
                                <a:pt x="45837" y="65125"/>
                                <a:pt x="31105" y="59551"/>
                              </a:cubicBezTo>
                              <a:cubicBezTo>
                                <a:pt x="13274" y="53340"/>
                                <a:pt x="2263" y="44259"/>
                                <a:pt x="2263" y="29134"/>
                              </a:cubicBezTo>
                              <a:cubicBezTo>
                                <a:pt x="2263" y="12421"/>
                                <a:pt x="16360" y="0"/>
                                <a:pt x="3758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0" name="Shape 20"/>
                      <wps:cNvSpPr/>
                      <wps:spPr>
                        <a:xfrm>
                          <a:off x="80015" y="514500"/>
                          <a:ext cx="38227" cy="80463"/>
                        </a:xfrm>
                        <a:custGeom>
                          <a:avLst/>
                          <a:gdLst/>
                          <a:ahLst/>
                          <a:cxnLst/>
                          <a:rect l="0" t="0" r="0" b="0"/>
                          <a:pathLst>
                            <a:path w="38227" h="80463">
                              <a:moveTo>
                                <a:pt x="38227" y="0"/>
                              </a:moveTo>
                              <a:lnTo>
                                <a:pt x="38227" y="10477"/>
                              </a:lnTo>
                              <a:lnTo>
                                <a:pt x="27675" y="13014"/>
                              </a:lnTo>
                              <a:cubicBezTo>
                                <a:pt x="18515" y="17998"/>
                                <a:pt x="14415" y="29340"/>
                                <a:pt x="14415" y="40332"/>
                              </a:cubicBezTo>
                              <a:cubicBezTo>
                                <a:pt x="14415" y="57210"/>
                                <a:pt x="24295" y="69948"/>
                                <a:pt x="38227" y="69948"/>
                              </a:cubicBezTo>
                              <a:lnTo>
                                <a:pt x="38227" y="80354"/>
                              </a:lnTo>
                              <a:lnTo>
                                <a:pt x="37579" y="80463"/>
                              </a:lnTo>
                              <a:cubicBezTo>
                                <a:pt x="16358" y="80463"/>
                                <a:pt x="0" y="65173"/>
                                <a:pt x="0" y="40815"/>
                              </a:cubicBezTo>
                              <a:cubicBezTo>
                                <a:pt x="0" y="21459"/>
                                <a:pt x="9658" y="8113"/>
                                <a:pt x="23644" y="2649"/>
                              </a:cubicBezTo>
                              <a:lnTo>
                                <a:pt x="3822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1" name="Shape 21"/>
                      <wps:cNvSpPr/>
                      <wps:spPr>
                        <a:xfrm>
                          <a:off x="118242" y="514382"/>
                          <a:ext cx="38392" cy="80472"/>
                        </a:xfrm>
                        <a:custGeom>
                          <a:avLst/>
                          <a:gdLst/>
                          <a:ahLst/>
                          <a:cxnLst/>
                          <a:rect l="0" t="0" r="0" b="0"/>
                          <a:pathLst>
                            <a:path w="38392" h="80472">
                              <a:moveTo>
                                <a:pt x="648" y="0"/>
                              </a:moveTo>
                              <a:cubicBezTo>
                                <a:pt x="23165" y="0"/>
                                <a:pt x="38392" y="16078"/>
                                <a:pt x="38392" y="39650"/>
                              </a:cubicBezTo>
                              <a:cubicBezTo>
                                <a:pt x="38392" y="61033"/>
                                <a:pt x="27098" y="73365"/>
                                <a:pt x="13452" y="78195"/>
                              </a:cubicBezTo>
                              <a:lnTo>
                                <a:pt x="0" y="80472"/>
                              </a:lnTo>
                              <a:lnTo>
                                <a:pt x="0" y="70066"/>
                              </a:lnTo>
                              <a:cubicBezTo>
                                <a:pt x="13614" y="70066"/>
                                <a:pt x="23813" y="57493"/>
                                <a:pt x="23813" y="40132"/>
                              </a:cubicBezTo>
                              <a:cubicBezTo>
                                <a:pt x="23813" y="27063"/>
                                <a:pt x="17170" y="10516"/>
                                <a:pt x="330" y="10516"/>
                              </a:cubicBezTo>
                              <a:lnTo>
                                <a:pt x="0" y="10595"/>
                              </a:lnTo>
                              <a:lnTo>
                                <a:pt x="0" y="118"/>
                              </a:lnTo>
                              <a:lnTo>
                                <a:pt x="64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2" name="Shape 22"/>
                      <wps:cNvSpPr/>
                      <wps:spPr>
                        <a:xfrm>
                          <a:off x="168938" y="514537"/>
                          <a:ext cx="61887" cy="80429"/>
                        </a:xfrm>
                        <a:custGeom>
                          <a:avLst/>
                          <a:gdLst/>
                          <a:ahLst/>
                          <a:cxnLst/>
                          <a:rect l="0" t="0" r="0" b="0"/>
                          <a:pathLst>
                            <a:path w="61887" h="80429">
                              <a:moveTo>
                                <a:pt x="42113" y="0"/>
                              </a:moveTo>
                              <a:cubicBezTo>
                                <a:pt x="50546" y="0"/>
                                <a:pt x="57988" y="2070"/>
                                <a:pt x="61887" y="3988"/>
                              </a:cubicBezTo>
                              <a:lnTo>
                                <a:pt x="58649" y="14821"/>
                              </a:lnTo>
                              <a:cubicBezTo>
                                <a:pt x="55245" y="12903"/>
                                <a:pt x="49899" y="11150"/>
                                <a:pt x="42113" y="11150"/>
                              </a:cubicBezTo>
                              <a:cubicBezTo>
                                <a:pt x="24130" y="11150"/>
                                <a:pt x="14415" y="24206"/>
                                <a:pt x="14415" y="40297"/>
                              </a:cubicBezTo>
                              <a:cubicBezTo>
                                <a:pt x="14415" y="58127"/>
                                <a:pt x="26073" y="69114"/>
                                <a:pt x="41631" y="69114"/>
                              </a:cubicBezTo>
                              <a:cubicBezTo>
                                <a:pt x="49733" y="69114"/>
                                <a:pt x="55080" y="67056"/>
                                <a:pt x="59131" y="65303"/>
                              </a:cubicBezTo>
                              <a:lnTo>
                                <a:pt x="61557" y="75806"/>
                              </a:lnTo>
                              <a:cubicBezTo>
                                <a:pt x="57836" y="77724"/>
                                <a:pt x="49568" y="80429"/>
                                <a:pt x="39040" y="80429"/>
                              </a:cubicBezTo>
                              <a:cubicBezTo>
                                <a:pt x="15392" y="80429"/>
                                <a:pt x="0" y="64503"/>
                                <a:pt x="0" y="40932"/>
                              </a:cubicBezTo>
                              <a:cubicBezTo>
                                <a:pt x="0" y="17208"/>
                                <a:pt x="16523" y="0"/>
                                <a:pt x="42113"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4" name="Shape 38234"/>
                      <wps:cNvSpPr/>
                      <wps:spPr>
                        <a:xfrm>
                          <a:off x="247167" y="516126"/>
                          <a:ext cx="14250" cy="77076"/>
                        </a:xfrm>
                        <a:custGeom>
                          <a:avLst/>
                          <a:gdLst/>
                          <a:ahLst/>
                          <a:cxnLst/>
                          <a:rect l="0" t="0" r="0" b="0"/>
                          <a:pathLst>
                            <a:path w="14250" h="77076">
                              <a:moveTo>
                                <a:pt x="0" y="0"/>
                              </a:moveTo>
                              <a:lnTo>
                                <a:pt x="14250" y="0"/>
                              </a:lnTo>
                              <a:lnTo>
                                <a:pt x="14250" y="77076"/>
                              </a:lnTo>
                              <a:lnTo>
                                <a:pt x="0" y="77076"/>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4" name="Shape 24"/>
                      <wps:cNvSpPr/>
                      <wps:spPr>
                        <a:xfrm>
                          <a:off x="245389" y="485722"/>
                          <a:ext cx="17818" cy="17348"/>
                        </a:xfrm>
                        <a:custGeom>
                          <a:avLst/>
                          <a:gdLst/>
                          <a:ahLst/>
                          <a:cxnLst/>
                          <a:rect l="0" t="0" r="0" b="0"/>
                          <a:pathLst>
                            <a:path w="17818" h="17348">
                              <a:moveTo>
                                <a:pt x="8915" y="0"/>
                              </a:moveTo>
                              <a:cubicBezTo>
                                <a:pt x="14262" y="0"/>
                                <a:pt x="17653" y="3810"/>
                                <a:pt x="17653" y="8750"/>
                              </a:cubicBezTo>
                              <a:cubicBezTo>
                                <a:pt x="17818" y="13526"/>
                                <a:pt x="14262" y="17348"/>
                                <a:pt x="8585" y="17348"/>
                              </a:cubicBezTo>
                              <a:cubicBezTo>
                                <a:pt x="3569" y="17348"/>
                                <a:pt x="0" y="13526"/>
                                <a:pt x="0" y="8750"/>
                              </a:cubicBezTo>
                              <a:cubicBezTo>
                                <a:pt x="0" y="3810"/>
                                <a:pt x="3721" y="0"/>
                                <a:pt x="891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5" name="Shape 25"/>
                      <wps:cNvSpPr/>
                      <wps:spPr>
                        <a:xfrm>
                          <a:off x="278912" y="545613"/>
                          <a:ext cx="30867" cy="49343"/>
                        </a:xfrm>
                        <a:custGeom>
                          <a:avLst/>
                          <a:gdLst/>
                          <a:ahLst/>
                          <a:cxnLst/>
                          <a:rect l="0" t="0" r="0" b="0"/>
                          <a:pathLst>
                            <a:path w="30867" h="49343">
                              <a:moveTo>
                                <a:pt x="30867" y="0"/>
                              </a:moveTo>
                              <a:lnTo>
                                <a:pt x="30867" y="10439"/>
                              </a:lnTo>
                              <a:lnTo>
                                <a:pt x="25033" y="11205"/>
                              </a:lnTo>
                              <a:cubicBezTo>
                                <a:pt x="18676" y="13713"/>
                                <a:pt x="14262" y="18132"/>
                                <a:pt x="14262" y="25619"/>
                              </a:cubicBezTo>
                              <a:cubicBezTo>
                                <a:pt x="14262" y="34700"/>
                                <a:pt x="20422" y="38992"/>
                                <a:pt x="27711" y="38992"/>
                              </a:cubicBezTo>
                              <a:lnTo>
                                <a:pt x="30867" y="37979"/>
                              </a:lnTo>
                              <a:lnTo>
                                <a:pt x="30867" y="47703"/>
                              </a:lnTo>
                              <a:lnTo>
                                <a:pt x="23978" y="49343"/>
                              </a:lnTo>
                              <a:cubicBezTo>
                                <a:pt x="8103" y="49343"/>
                                <a:pt x="0" y="38357"/>
                                <a:pt x="0" y="27207"/>
                              </a:cubicBezTo>
                              <a:cubicBezTo>
                                <a:pt x="0" y="13234"/>
                                <a:pt x="9480" y="4011"/>
                                <a:pt x="26998" y="343"/>
                              </a:cubicBezTo>
                              <a:lnTo>
                                <a:pt x="3086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6" name="Shape 26"/>
                      <wps:cNvSpPr/>
                      <wps:spPr>
                        <a:xfrm>
                          <a:off x="284589" y="514525"/>
                          <a:ext cx="25190" cy="15940"/>
                        </a:xfrm>
                        <a:custGeom>
                          <a:avLst/>
                          <a:gdLst/>
                          <a:ahLst/>
                          <a:cxnLst/>
                          <a:rect l="0" t="0" r="0" b="0"/>
                          <a:pathLst>
                            <a:path w="25190" h="15940">
                              <a:moveTo>
                                <a:pt x="25190" y="0"/>
                              </a:moveTo>
                              <a:lnTo>
                                <a:pt x="25190" y="10518"/>
                              </a:lnTo>
                              <a:lnTo>
                                <a:pt x="23647" y="10213"/>
                              </a:lnTo>
                              <a:cubicBezTo>
                                <a:pt x="16358" y="10213"/>
                                <a:pt x="8750" y="12435"/>
                                <a:pt x="3238" y="15940"/>
                              </a:cubicBezTo>
                              <a:lnTo>
                                <a:pt x="0" y="6707"/>
                              </a:lnTo>
                              <a:lnTo>
                                <a:pt x="2519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7" name="Shape 27"/>
                      <wps:cNvSpPr/>
                      <wps:spPr>
                        <a:xfrm>
                          <a:off x="309780" y="514375"/>
                          <a:ext cx="31667" cy="78942"/>
                        </a:xfrm>
                        <a:custGeom>
                          <a:avLst/>
                          <a:gdLst/>
                          <a:ahLst/>
                          <a:cxnLst/>
                          <a:rect l="0" t="0" r="0" b="0"/>
                          <a:pathLst>
                            <a:path w="31667" h="78942">
                              <a:moveTo>
                                <a:pt x="565" y="0"/>
                              </a:moveTo>
                              <a:cubicBezTo>
                                <a:pt x="24543" y="0"/>
                                <a:pt x="30372" y="16090"/>
                                <a:pt x="30372" y="31547"/>
                              </a:cubicBezTo>
                              <a:lnTo>
                                <a:pt x="30372" y="60363"/>
                              </a:lnTo>
                              <a:cubicBezTo>
                                <a:pt x="30372" y="67056"/>
                                <a:pt x="30702" y="73584"/>
                                <a:pt x="31667" y="78829"/>
                              </a:cubicBezTo>
                              <a:lnTo>
                                <a:pt x="18713" y="78829"/>
                              </a:lnTo>
                              <a:lnTo>
                                <a:pt x="17570" y="69126"/>
                              </a:lnTo>
                              <a:lnTo>
                                <a:pt x="17088" y="69126"/>
                              </a:lnTo>
                              <a:cubicBezTo>
                                <a:pt x="14903" y="72149"/>
                                <a:pt x="11703" y="75012"/>
                                <a:pt x="7651" y="77121"/>
                              </a:cubicBezTo>
                              <a:lnTo>
                                <a:pt x="0" y="78942"/>
                              </a:lnTo>
                              <a:lnTo>
                                <a:pt x="0" y="69217"/>
                              </a:lnTo>
                              <a:lnTo>
                                <a:pt x="9295" y="66233"/>
                              </a:lnTo>
                              <a:cubicBezTo>
                                <a:pt x="12474" y="63827"/>
                                <a:pt x="14662" y="60604"/>
                                <a:pt x="15792" y="57341"/>
                              </a:cubicBezTo>
                              <a:cubicBezTo>
                                <a:pt x="16275" y="55905"/>
                                <a:pt x="16605" y="54305"/>
                                <a:pt x="16605" y="52883"/>
                              </a:cubicBezTo>
                              <a:lnTo>
                                <a:pt x="16605" y="39497"/>
                              </a:lnTo>
                              <a:lnTo>
                                <a:pt x="0" y="41677"/>
                              </a:lnTo>
                              <a:lnTo>
                                <a:pt x="0" y="31238"/>
                              </a:lnTo>
                              <a:lnTo>
                                <a:pt x="16275" y="29794"/>
                              </a:lnTo>
                              <a:lnTo>
                                <a:pt x="16275" y="28194"/>
                              </a:lnTo>
                              <a:cubicBezTo>
                                <a:pt x="16275" y="23422"/>
                                <a:pt x="15275" y="15778"/>
                                <a:pt x="8008" y="12254"/>
                              </a:cubicBezTo>
                              <a:lnTo>
                                <a:pt x="0" y="10668"/>
                              </a:lnTo>
                              <a:lnTo>
                                <a:pt x="0" y="150"/>
                              </a:lnTo>
                              <a:lnTo>
                                <a:pt x="56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5" name="Shape 38235"/>
                      <wps:cNvSpPr/>
                      <wps:spPr>
                        <a:xfrm>
                          <a:off x="363144" y="480147"/>
                          <a:ext cx="14250" cy="113068"/>
                        </a:xfrm>
                        <a:custGeom>
                          <a:avLst/>
                          <a:gdLst/>
                          <a:ahLst/>
                          <a:cxnLst/>
                          <a:rect l="0" t="0" r="0" b="0"/>
                          <a:pathLst>
                            <a:path w="14250" h="113068">
                              <a:moveTo>
                                <a:pt x="0" y="0"/>
                              </a:moveTo>
                              <a:lnTo>
                                <a:pt x="14250" y="0"/>
                              </a:lnTo>
                              <a:lnTo>
                                <a:pt x="14250" y="113068"/>
                              </a:lnTo>
                              <a:lnTo>
                                <a:pt x="0" y="113068"/>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29" name="Shape 29"/>
                      <wps:cNvSpPr/>
                      <wps:spPr>
                        <a:xfrm>
                          <a:off x="436193" y="485084"/>
                          <a:ext cx="33617" cy="108128"/>
                        </a:xfrm>
                        <a:custGeom>
                          <a:avLst/>
                          <a:gdLst/>
                          <a:ahLst/>
                          <a:cxnLst/>
                          <a:rect l="0" t="0" r="0" b="0"/>
                          <a:pathLst>
                            <a:path w="33617" h="108128">
                              <a:moveTo>
                                <a:pt x="27051" y="0"/>
                              </a:moveTo>
                              <a:lnTo>
                                <a:pt x="33617" y="836"/>
                              </a:lnTo>
                              <a:lnTo>
                                <a:pt x="33617" y="12717"/>
                              </a:lnTo>
                              <a:lnTo>
                                <a:pt x="27381" y="10985"/>
                              </a:lnTo>
                              <a:cubicBezTo>
                                <a:pt x="21222" y="10985"/>
                                <a:pt x="16523" y="11468"/>
                                <a:pt x="14097" y="12103"/>
                              </a:cubicBezTo>
                              <a:lnTo>
                                <a:pt x="14097" y="53822"/>
                              </a:lnTo>
                              <a:cubicBezTo>
                                <a:pt x="17170" y="54610"/>
                                <a:pt x="21056" y="54940"/>
                                <a:pt x="25755" y="54940"/>
                              </a:cubicBezTo>
                              <a:lnTo>
                                <a:pt x="33617" y="52623"/>
                              </a:lnTo>
                              <a:lnTo>
                                <a:pt x="33617" y="64806"/>
                              </a:lnTo>
                              <a:lnTo>
                                <a:pt x="25438" y="66078"/>
                              </a:lnTo>
                              <a:cubicBezTo>
                                <a:pt x="21222" y="66078"/>
                                <a:pt x="17335" y="65925"/>
                                <a:pt x="14097" y="65125"/>
                              </a:cubicBezTo>
                              <a:lnTo>
                                <a:pt x="14097" y="108128"/>
                              </a:lnTo>
                              <a:lnTo>
                                <a:pt x="0" y="108128"/>
                              </a:lnTo>
                              <a:lnTo>
                                <a:pt x="0" y="2057"/>
                              </a:lnTo>
                              <a:cubicBezTo>
                                <a:pt x="6807" y="952"/>
                                <a:pt x="15710" y="0"/>
                                <a:pt x="2705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0" name="Shape 30"/>
                      <wps:cNvSpPr/>
                      <wps:spPr>
                        <a:xfrm>
                          <a:off x="469810" y="485919"/>
                          <a:ext cx="33617" cy="63971"/>
                        </a:xfrm>
                        <a:custGeom>
                          <a:avLst/>
                          <a:gdLst/>
                          <a:ahLst/>
                          <a:cxnLst/>
                          <a:rect l="0" t="0" r="0" b="0"/>
                          <a:pathLst>
                            <a:path w="33617" h="63971">
                              <a:moveTo>
                                <a:pt x="0" y="0"/>
                              </a:moveTo>
                              <a:lnTo>
                                <a:pt x="11539" y="1470"/>
                              </a:lnTo>
                              <a:cubicBezTo>
                                <a:pt x="16643" y="2980"/>
                                <a:pt x="20815" y="5209"/>
                                <a:pt x="24054" y="8079"/>
                              </a:cubicBezTo>
                              <a:cubicBezTo>
                                <a:pt x="30048" y="13172"/>
                                <a:pt x="33617" y="20970"/>
                                <a:pt x="33617" y="30533"/>
                              </a:cubicBezTo>
                              <a:cubicBezTo>
                                <a:pt x="33617" y="40249"/>
                                <a:pt x="30696" y="47894"/>
                                <a:pt x="25184" y="53470"/>
                              </a:cubicBezTo>
                              <a:cubicBezTo>
                                <a:pt x="21463" y="57369"/>
                                <a:pt x="16564" y="60311"/>
                                <a:pt x="10874" y="62280"/>
                              </a:cubicBezTo>
                              <a:lnTo>
                                <a:pt x="0" y="63971"/>
                              </a:lnTo>
                              <a:lnTo>
                                <a:pt x="0" y="51788"/>
                              </a:lnTo>
                              <a:lnTo>
                                <a:pt x="12211" y="48189"/>
                              </a:lnTo>
                              <a:cubicBezTo>
                                <a:pt x="16929" y="44306"/>
                                <a:pt x="19520" y="38572"/>
                                <a:pt x="19520" y="31168"/>
                              </a:cubicBezTo>
                              <a:cubicBezTo>
                                <a:pt x="19520" y="24081"/>
                                <a:pt x="16967" y="18827"/>
                                <a:pt x="12471" y="15344"/>
                              </a:cubicBezTo>
                              <a:lnTo>
                                <a:pt x="0" y="11881"/>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1" name="Shape 31"/>
                      <wps:cNvSpPr/>
                      <wps:spPr>
                        <a:xfrm>
                          <a:off x="512326" y="514500"/>
                          <a:ext cx="38227" cy="80463"/>
                        </a:xfrm>
                        <a:custGeom>
                          <a:avLst/>
                          <a:gdLst/>
                          <a:ahLst/>
                          <a:cxnLst/>
                          <a:rect l="0" t="0" r="0" b="0"/>
                          <a:pathLst>
                            <a:path w="38227" h="80463">
                              <a:moveTo>
                                <a:pt x="38227" y="0"/>
                              </a:moveTo>
                              <a:lnTo>
                                <a:pt x="38227" y="10477"/>
                              </a:lnTo>
                              <a:lnTo>
                                <a:pt x="27675" y="13014"/>
                              </a:lnTo>
                              <a:cubicBezTo>
                                <a:pt x="18515" y="17998"/>
                                <a:pt x="14415" y="29340"/>
                                <a:pt x="14415" y="40332"/>
                              </a:cubicBezTo>
                              <a:cubicBezTo>
                                <a:pt x="14415" y="57210"/>
                                <a:pt x="24295" y="69948"/>
                                <a:pt x="38227" y="69948"/>
                              </a:cubicBezTo>
                              <a:lnTo>
                                <a:pt x="38227" y="80354"/>
                              </a:lnTo>
                              <a:lnTo>
                                <a:pt x="37579" y="80463"/>
                              </a:lnTo>
                              <a:cubicBezTo>
                                <a:pt x="16358" y="80463"/>
                                <a:pt x="0" y="65173"/>
                                <a:pt x="0" y="40815"/>
                              </a:cubicBezTo>
                              <a:cubicBezTo>
                                <a:pt x="0" y="21459"/>
                                <a:pt x="9658" y="8113"/>
                                <a:pt x="23644" y="2649"/>
                              </a:cubicBezTo>
                              <a:lnTo>
                                <a:pt x="3822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2" name="Shape 32"/>
                      <wps:cNvSpPr/>
                      <wps:spPr>
                        <a:xfrm>
                          <a:off x="550554" y="514382"/>
                          <a:ext cx="38392" cy="80472"/>
                        </a:xfrm>
                        <a:custGeom>
                          <a:avLst/>
                          <a:gdLst/>
                          <a:ahLst/>
                          <a:cxnLst/>
                          <a:rect l="0" t="0" r="0" b="0"/>
                          <a:pathLst>
                            <a:path w="38392" h="80472">
                              <a:moveTo>
                                <a:pt x="648" y="0"/>
                              </a:moveTo>
                              <a:cubicBezTo>
                                <a:pt x="23165" y="0"/>
                                <a:pt x="38392" y="16078"/>
                                <a:pt x="38392" y="39650"/>
                              </a:cubicBezTo>
                              <a:cubicBezTo>
                                <a:pt x="38392" y="61033"/>
                                <a:pt x="27098" y="73365"/>
                                <a:pt x="13452" y="78195"/>
                              </a:cubicBezTo>
                              <a:lnTo>
                                <a:pt x="0" y="80472"/>
                              </a:lnTo>
                              <a:lnTo>
                                <a:pt x="0" y="70066"/>
                              </a:lnTo>
                              <a:cubicBezTo>
                                <a:pt x="13614" y="70066"/>
                                <a:pt x="23813" y="57493"/>
                                <a:pt x="23813" y="40132"/>
                              </a:cubicBezTo>
                              <a:cubicBezTo>
                                <a:pt x="23813" y="27063"/>
                                <a:pt x="17170" y="10516"/>
                                <a:pt x="330" y="10516"/>
                              </a:cubicBezTo>
                              <a:lnTo>
                                <a:pt x="0" y="10595"/>
                              </a:lnTo>
                              <a:lnTo>
                                <a:pt x="0" y="118"/>
                              </a:lnTo>
                              <a:lnTo>
                                <a:pt x="64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5" name="Shape 35"/>
                      <wps:cNvSpPr/>
                      <wps:spPr>
                        <a:xfrm>
                          <a:off x="643356" y="485722"/>
                          <a:ext cx="17818" cy="17348"/>
                        </a:xfrm>
                        <a:custGeom>
                          <a:avLst/>
                          <a:gdLst/>
                          <a:ahLst/>
                          <a:cxnLst/>
                          <a:rect l="0" t="0" r="0" b="0"/>
                          <a:pathLst>
                            <a:path w="17818" h="17348">
                              <a:moveTo>
                                <a:pt x="8915" y="0"/>
                              </a:moveTo>
                              <a:cubicBezTo>
                                <a:pt x="14262" y="0"/>
                                <a:pt x="17666" y="3810"/>
                                <a:pt x="17666" y="8750"/>
                              </a:cubicBezTo>
                              <a:cubicBezTo>
                                <a:pt x="17818" y="13526"/>
                                <a:pt x="14262" y="17348"/>
                                <a:pt x="8585" y="17348"/>
                              </a:cubicBezTo>
                              <a:cubicBezTo>
                                <a:pt x="3569" y="17348"/>
                                <a:pt x="0" y="13526"/>
                                <a:pt x="0" y="8750"/>
                              </a:cubicBezTo>
                              <a:cubicBezTo>
                                <a:pt x="0" y="3810"/>
                                <a:pt x="3734" y="0"/>
                                <a:pt x="891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6" name="Shape 36"/>
                      <wps:cNvSpPr/>
                      <wps:spPr>
                        <a:xfrm>
                          <a:off x="677375" y="514537"/>
                          <a:ext cx="61887" cy="80429"/>
                        </a:xfrm>
                        <a:custGeom>
                          <a:avLst/>
                          <a:gdLst/>
                          <a:ahLst/>
                          <a:cxnLst/>
                          <a:rect l="0" t="0" r="0" b="0"/>
                          <a:pathLst>
                            <a:path w="61887" h="80429">
                              <a:moveTo>
                                <a:pt x="42113" y="0"/>
                              </a:moveTo>
                              <a:cubicBezTo>
                                <a:pt x="50546" y="0"/>
                                <a:pt x="57988" y="2070"/>
                                <a:pt x="61887" y="3988"/>
                              </a:cubicBezTo>
                              <a:lnTo>
                                <a:pt x="58648" y="14821"/>
                              </a:lnTo>
                              <a:cubicBezTo>
                                <a:pt x="55245" y="12903"/>
                                <a:pt x="49898" y="11150"/>
                                <a:pt x="42113" y="11150"/>
                              </a:cubicBezTo>
                              <a:cubicBezTo>
                                <a:pt x="24130" y="11150"/>
                                <a:pt x="14414" y="24206"/>
                                <a:pt x="14414" y="40297"/>
                              </a:cubicBezTo>
                              <a:cubicBezTo>
                                <a:pt x="14414" y="58127"/>
                                <a:pt x="26073" y="69114"/>
                                <a:pt x="41630" y="69114"/>
                              </a:cubicBezTo>
                              <a:cubicBezTo>
                                <a:pt x="49733" y="69114"/>
                                <a:pt x="55080" y="67056"/>
                                <a:pt x="59131" y="65303"/>
                              </a:cubicBezTo>
                              <a:lnTo>
                                <a:pt x="61557" y="75806"/>
                              </a:lnTo>
                              <a:cubicBezTo>
                                <a:pt x="57836" y="77724"/>
                                <a:pt x="49568" y="80429"/>
                                <a:pt x="39039" y="80429"/>
                              </a:cubicBezTo>
                              <a:cubicBezTo>
                                <a:pt x="15392" y="80429"/>
                                <a:pt x="0" y="64503"/>
                                <a:pt x="0" y="40932"/>
                              </a:cubicBezTo>
                              <a:cubicBezTo>
                                <a:pt x="0" y="17208"/>
                                <a:pt x="16523" y="0"/>
                                <a:pt x="42113"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7" name="Shape 37"/>
                      <wps:cNvSpPr/>
                      <wps:spPr>
                        <a:xfrm>
                          <a:off x="747999" y="516131"/>
                          <a:ext cx="73711" cy="112281"/>
                        </a:xfrm>
                        <a:custGeom>
                          <a:avLst/>
                          <a:gdLst/>
                          <a:ahLst/>
                          <a:cxnLst/>
                          <a:rect l="0" t="0" r="0" b="0"/>
                          <a:pathLst>
                            <a:path w="73711" h="112281">
                              <a:moveTo>
                                <a:pt x="0" y="0"/>
                              </a:moveTo>
                              <a:lnTo>
                                <a:pt x="15545" y="0"/>
                              </a:lnTo>
                              <a:lnTo>
                                <a:pt x="32715" y="45555"/>
                              </a:lnTo>
                              <a:cubicBezTo>
                                <a:pt x="34506" y="50647"/>
                                <a:pt x="36449" y="56693"/>
                                <a:pt x="37744" y="61316"/>
                              </a:cubicBezTo>
                              <a:lnTo>
                                <a:pt x="38062" y="61316"/>
                              </a:lnTo>
                              <a:cubicBezTo>
                                <a:pt x="39522" y="56693"/>
                                <a:pt x="41135" y="50800"/>
                                <a:pt x="43091" y="45224"/>
                              </a:cubicBezTo>
                              <a:lnTo>
                                <a:pt x="58649" y="0"/>
                              </a:lnTo>
                              <a:lnTo>
                                <a:pt x="73711" y="0"/>
                              </a:lnTo>
                              <a:lnTo>
                                <a:pt x="52324" y="54940"/>
                              </a:lnTo>
                              <a:cubicBezTo>
                                <a:pt x="42113" y="81382"/>
                                <a:pt x="35154" y="94907"/>
                                <a:pt x="25426" y="103200"/>
                              </a:cubicBezTo>
                              <a:cubicBezTo>
                                <a:pt x="18466" y="109245"/>
                                <a:pt x="11493" y="111633"/>
                                <a:pt x="7938" y="112281"/>
                              </a:cubicBezTo>
                              <a:lnTo>
                                <a:pt x="4369" y="100495"/>
                              </a:lnTo>
                              <a:cubicBezTo>
                                <a:pt x="7938" y="99378"/>
                                <a:pt x="12636" y="97142"/>
                                <a:pt x="16840" y="93637"/>
                              </a:cubicBezTo>
                              <a:cubicBezTo>
                                <a:pt x="20739" y="90615"/>
                                <a:pt x="25590" y="85204"/>
                                <a:pt x="28829" y="78029"/>
                              </a:cubicBezTo>
                              <a:cubicBezTo>
                                <a:pt x="29476" y="76606"/>
                                <a:pt x="29959" y="75488"/>
                                <a:pt x="29959" y="74688"/>
                              </a:cubicBezTo>
                              <a:cubicBezTo>
                                <a:pt x="29959" y="73901"/>
                                <a:pt x="29642" y="72784"/>
                                <a:pt x="28994" y="71031"/>
                              </a:cubicBez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 name="Shape 38"/>
                      <wps:cNvSpPr/>
                      <wps:spPr>
                        <a:xfrm>
                          <a:off x="869478" y="485083"/>
                          <a:ext cx="33617" cy="108128"/>
                        </a:xfrm>
                        <a:custGeom>
                          <a:avLst/>
                          <a:gdLst/>
                          <a:ahLst/>
                          <a:cxnLst/>
                          <a:rect l="0" t="0" r="0" b="0"/>
                          <a:pathLst>
                            <a:path w="33617" h="108128">
                              <a:moveTo>
                                <a:pt x="27051" y="0"/>
                              </a:moveTo>
                              <a:lnTo>
                                <a:pt x="33617" y="733"/>
                              </a:lnTo>
                              <a:lnTo>
                                <a:pt x="33617" y="12176"/>
                              </a:lnTo>
                              <a:lnTo>
                                <a:pt x="28029" y="10668"/>
                              </a:lnTo>
                              <a:cubicBezTo>
                                <a:pt x="21222" y="10668"/>
                                <a:pt x="16358" y="11303"/>
                                <a:pt x="14097" y="11938"/>
                              </a:cubicBezTo>
                              <a:lnTo>
                                <a:pt x="14097" y="51118"/>
                              </a:lnTo>
                              <a:lnTo>
                                <a:pt x="28511" y="51118"/>
                              </a:lnTo>
                              <a:lnTo>
                                <a:pt x="33617" y="49527"/>
                              </a:lnTo>
                              <a:lnTo>
                                <a:pt x="33617" y="63795"/>
                              </a:lnTo>
                              <a:lnTo>
                                <a:pt x="27381" y="61621"/>
                              </a:lnTo>
                              <a:lnTo>
                                <a:pt x="14097" y="61621"/>
                              </a:lnTo>
                              <a:lnTo>
                                <a:pt x="14097" y="108128"/>
                              </a:lnTo>
                              <a:lnTo>
                                <a:pt x="0" y="108128"/>
                              </a:lnTo>
                              <a:lnTo>
                                <a:pt x="0" y="2223"/>
                              </a:lnTo>
                              <a:cubicBezTo>
                                <a:pt x="7124" y="801"/>
                                <a:pt x="17335" y="0"/>
                                <a:pt x="2705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9" name="Shape 39"/>
                      <wps:cNvSpPr/>
                      <wps:spPr>
                        <a:xfrm>
                          <a:off x="903095" y="485816"/>
                          <a:ext cx="37503" cy="107395"/>
                        </a:xfrm>
                        <a:custGeom>
                          <a:avLst/>
                          <a:gdLst/>
                          <a:ahLst/>
                          <a:cxnLst/>
                          <a:rect l="0" t="0" r="0" b="0"/>
                          <a:pathLst>
                            <a:path w="37503" h="107395">
                              <a:moveTo>
                                <a:pt x="0" y="0"/>
                              </a:moveTo>
                              <a:lnTo>
                                <a:pt x="12328" y="1377"/>
                              </a:lnTo>
                              <a:cubicBezTo>
                                <a:pt x="17494" y="2810"/>
                                <a:pt x="21628" y="5000"/>
                                <a:pt x="25031" y="8030"/>
                              </a:cubicBezTo>
                              <a:cubicBezTo>
                                <a:pt x="30543" y="12792"/>
                                <a:pt x="33604" y="20120"/>
                                <a:pt x="33604" y="28414"/>
                              </a:cubicBezTo>
                              <a:cubicBezTo>
                                <a:pt x="33604" y="42574"/>
                                <a:pt x="24536" y="51972"/>
                                <a:pt x="13043" y="55795"/>
                              </a:cubicBezTo>
                              <a:lnTo>
                                <a:pt x="13043" y="56277"/>
                              </a:lnTo>
                              <a:cubicBezTo>
                                <a:pt x="21463" y="59135"/>
                                <a:pt x="26479" y="66793"/>
                                <a:pt x="29070" y="77931"/>
                              </a:cubicBezTo>
                              <a:cubicBezTo>
                                <a:pt x="32639" y="92904"/>
                                <a:pt x="35230" y="103255"/>
                                <a:pt x="37503" y="107395"/>
                              </a:cubicBezTo>
                              <a:lnTo>
                                <a:pt x="22923" y="107395"/>
                              </a:lnTo>
                              <a:cubicBezTo>
                                <a:pt x="21132" y="104207"/>
                                <a:pt x="18707" y="95139"/>
                                <a:pt x="15621" y="81754"/>
                              </a:cubicBezTo>
                              <a:cubicBezTo>
                                <a:pt x="14008" y="74350"/>
                                <a:pt x="11741" y="69254"/>
                                <a:pt x="8279" y="65949"/>
                              </a:cubicBezTo>
                              <a:lnTo>
                                <a:pt x="0" y="63062"/>
                              </a:lnTo>
                              <a:lnTo>
                                <a:pt x="0" y="48794"/>
                              </a:lnTo>
                              <a:lnTo>
                                <a:pt x="12855" y="44789"/>
                              </a:lnTo>
                              <a:cubicBezTo>
                                <a:pt x="17129" y="41225"/>
                                <a:pt x="19520" y="36129"/>
                                <a:pt x="19520" y="30001"/>
                              </a:cubicBezTo>
                              <a:cubicBezTo>
                                <a:pt x="19520" y="23074"/>
                                <a:pt x="16967" y="18095"/>
                                <a:pt x="12552" y="14829"/>
                              </a:cubicBezTo>
                              <a:lnTo>
                                <a:pt x="0" y="11443"/>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0" name="Shape 40"/>
                      <wps:cNvSpPr/>
                      <wps:spPr>
                        <a:xfrm>
                          <a:off x="951108" y="514840"/>
                          <a:ext cx="34591" cy="79432"/>
                        </a:xfrm>
                        <a:custGeom>
                          <a:avLst/>
                          <a:gdLst/>
                          <a:ahLst/>
                          <a:cxnLst/>
                          <a:rect l="0" t="0" r="0" b="0"/>
                          <a:pathLst>
                            <a:path w="34591" h="79432">
                              <a:moveTo>
                                <a:pt x="34591" y="0"/>
                              </a:moveTo>
                              <a:lnTo>
                                <a:pt x="34591" y="9820"/>
                              </a:lnTo>
                              <a:lnTo>
                                <a:pt x="26297" y="11766"/>
                              </a:lnTo>
                              <a:cubicBezTo>
                                <a:pt x="18384" y="15894"/>
                                <a:pt x="14615" y="25059"/>
                                <a:pt x="13767" y="32345"/>
                              </a:cubicBezTo>
                              <a:lnTo>
                                <a:pt x="34591" y="32345"/>
                              </a:lnTo>
                              <a:lnTo>
                                <a:pt x="34591" y="42378"/>
                              </a:lnTo>
                              <a:lnTo>
                                <a:pt x="13615" y="42378"/>
                              </a:lnTo>
                              <a:cubicBezTo>
                                <a:pt x="13774" y="51853"/>
                                <a:pt x="16932" y="58542"/>
                                <a:pt x="21833" y="62863"/>
                              </a:cubicBezTo>
                              <a:lnTo>
                                <a:pt x="34591" y="67151"/>
                              </a:lnTo>
                              <a:lnTo>
                                <a:pt x="34591" y="79432"/>
                              </a:lnTo>
                              <a:lnTo>
                                <a:pt x="22353" y="77297"/>
                              </a:lnTo>
                              <a:cubicBezTo>
                                <a:pt x="8115" y="71774"/>
                                <a:pt x="0" y="58548"/>
                                <a:pt x="0" y="41108"/>
                              </a:cubicBezTo>
                              <a:cubicBezTo>
                                <a:pt x="0" y="23668"/>
                                <a:pt x="7837" y="9006"/>
                                <a:pt x="21394" y="2766"/>
                              </a:cubicBezTo>
                              <a:lnTo>
                                <a:pt x="34591"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1" name="Shape 41"/>
                      <wps:cNvSpPr/>
                      <wps:spPr>
                        <a:xfrm>
                          <a:off x="985699" y="579989"/>
                          <a:ext cx="30052" cy="14974"/>
                        </a:xfrm>
                        <a:custGeom>
                          <a:avLst/>
                          <a:gdLst/>
                          <a:ahLst/>
                          <a:cxnLst/>
                          <a:rect l="0" t="0" r="0" b="0"/>
                          <a:pathLst>
                            <a:path w="30052" h="14974">
                              <a:moveTo>
                                <a:pt x="27627" y="0"/>
                              </a:moveTo>
                              <a:lnTo>
                                <a:pt x="30052" y="10033"/>
                              </a:lnTo>
                              <a:cubicBezTo>
                                <a:pt x="25023" y="12268"/>
                                <a:pt x="16438" y="14974"/>
                                <a:pt x="3966" y="14974"/>
                              </a:cubicBezTo>
                              <a:lnTo>
                                <a:pt x="0" y="14282"/>
                              </a:lnTo>
                              <a:lnTo>
                                <a:pt x="0" y="2001"/>
                              </a:lnTo>
                              <a:lnTo>
                                <a:pt x="5909" y="3987"/>
                              </a:lnTo>
                              <a:cubicBezTo>
                                <a:pt x="16120" y="3987"/>
                                <a:pt x="22267" y="2235"/>
                                <a:pt x="27627"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2" name="Shape 42"/>
                      <wps:cNvSpPr/>
                      <wps:spPr>
                        <a:xfrm>
                          <a:off x="985699" y="514381"/>
                          <a:ext cx="34586" cy="42837"/>
                        </a:xfrm>
                        <a:custGeom>
                          <a:avLst/>
                          <a:gdLst/>
                          <a:ahLst/>
                          <a:cxnLst/>
                          <a:rect l="0" t="0" r="0" b="0"/>
                          <a:pathLst>
                            <a:path w="34586" h="42837">
                              <a:moveTo>
                                <a:pt x="2188" y="0"/>
                              </a:moveTo>
                              <a:cubicBezTo>
                                <a:pt x="27779" y="0"/>
                                <a:pt x="34586" y="22136"/>
                                <a:pt x="34586" y="36309"/>
                              </a:cubicBezTo>
                              <a:cubicBezTo>
                                <a:pt x="34586" y="39180"/>
                                <a:pt x="34268" y="41402"/>
                                <a:pt x="34103" y="42837"/>
                              </a:cubicBezTo>
                              <a:lnTo>
                                <a:pt x="0" y="42837"/>
                              </a:lnTo>
                              <a:lnTo>
                                <a:pt x="0" y="32804"/>
                              </a:lnTo>
                              <a:lnTo>
                                <a:pt x="20819" y="32804"/>
                              </a:lnTo>
                              <a:cubicBezTo>
                                <a:pt x="20972" y="23888"/>
                                <a:pt x="17098" y="10033"/>
                                <a:pt x="1045" y="10033"/>
                              </a:cubicBezTo>
                              <a:lnTo>
                                <a:pt x="0" y="10278"/>
                              </a:lnTo>
                              <a:lnTo>
                                <a:pt x="0" y="459"/>
                              </a:lnTo>
                              <a:lnTo>
                                <a:pt x="218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3" name="Shape 43"/>
                      <wps:cNvSpPr/>
                      <wps:spPr>
                        <a:xfrm>
                          <a:off x="1032412" y="514385"/>
                          <a:ext cx="51359" cy="80582"/>
                        </a:xfrm>
                        <a:custGeom>
                          <a:avLst/>
                          <a:gdLst/>
                          <a:ahLst/>
                          <a:cxnLst/>
                          <a:rect l="0" t="0" r="0" b="0"/>
                          <a:pathLst>
                            <a:path w="51359" h="80582">
                              <a:moveTo>
                                <a:pt x="29325" y="0"/>
                              </a:moveTo>
                              <a:cubicBezTo>
                                <a:pt x="37262" y="0"/>
                                <a:pt x="44234" y="2222"/>
                                <a:pt x="48616" y="4775"/>
                              </a:cubicBezTo>
                              <a:lnTo>
                                <a:pt x="45034" y="14974"/>
                              </a:lnTo>
                              <a:cubicBezTo>
                                <a:pt x="41961" y="13056"/>
                                <a:pt x="36297" y="10503"/>
                                <a:pt x="29007" y="10503"/>
                              </a:cubicBezTo>
                              <a:cubicBezTo>
                                <a:pt x="20574" y="10503"/>
                                <a:pt x="15888" y="15278"/>
                                <a:pt x="15888" y="21019"/>
                              </a:cubicBezTo>
                              <a:cubicBezTo>
                                <a:pt x="15888" y="27394"/>
                                <a:pt x="20574" y="30252"/>
                                <a:pt x="30785" y="34074"/>
                              </a:cubicBezTo>
                              <a:cubicBezTo>
                                <a:pt x="44386" y="39167"/>
                                <a:pt x="51359" y="45860"/>
                                <a:pt x="51359" y="57328"/>
                              </a:cubicBezTo>
                              <a:cubicBezTo>
                                <a:pt x="51359" y="70866"/>
                                <a:pt x="40665" y="80582"/>
                                <a:pt x="22047" y="80582"/>
                              </a:cubicBezTo>
                              <a:cubicBezTo>
                                <a:pt x="13450" y="80582"/>
                                <a:pt x="5512" y="78346"/>
                                <a:pt x="0" y="75159"/>
                              </a:cubicBezTo>
                              <a:lnTo>
                                <a:pt x="3569" y="64491"/>
                              </a:lnTo>
                              <a:cubicBezTo>
                                <a:pt x="7785" y="67208"/>
                                <a:pt x="15240" y="70066"/>
                                <a:pt x="22365" y="70066"/>
                              </a:cubicBezTo>
                              <a:cubicBezTo>
                                <a:pt x="32728" y="70066"/>
                                <a:pt x="37592" y="64960"/>
                                <a:pt x="37592" y="58598"/>
                              </a:cubicBezTo>
                              <a:cubicBezTo>
                                <a:pt x="37592" y="51918"/>
                                <a:pt x="33541" y="48247"/>
                                <a:pt x="23013" y="44424"/>
                              </a:cubicBezTo>
                              <a:cubicBezTo>
                                <a:pt x="8915" y="39484"/>
                                <a:pt x="2274" y="31852"/>
                                <a:pt x="2274" y="22606"/>
                              </a:cubicBezTo>
                              <a:cubicBezTo>
                                <a:pt x="2274" y="10185"/>
                                <a:pt x="12484" y="0"/>
                                <a:pt x="2932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4" name="Shape 44"/>
                      <wps:cNvSpPr/>
                      <wps:spPr>
                        <a:xfrm>
                          <a:off x="1096388" y="514841"/>
                          <a:ext cx="34598" cy="79432"/>
                        </a:xfrm>
                        <a:custGeom>
                          <a:avLst/>
                          <a:gdLst/>
                          <a:ahLst/>
                          <a:cxnLst/>
                          <a:rect l="0" t="0" r="0" b="0"/>
                          <a:pathLst>
                            <a:path w="34598" h="79432">
                              <a:moveTo>
                                <a:pt x="34598" y="0"/>
                              </a:moveTo>
                              <a:lnTo>
                                <a:pt x="34598" y="9820"/>
                              </a:lnTo>
                              <a:lnTo>
                                <a:pt x="26310" y="11765"/>
                              </a:lnTo>
                              <a:cubicBezTo>
                                <a:pt x="18397" y="15893"/>
                                <a:pt x="14627" y="25058"/>
                                <a:pt x="13780" y="32345"/>
                              </a:cubicBezTo>
                              <a:lnTo>
                                <a:pt x="34598" y="32345"/>
                              </a:lnTo>
                              <a:lnTo>
                                <a:pt x="34598" y="42377"/>
                              </a:lnTo>
                              <a:lnTo>
                                <a:pt x="13615" y="42377"/>
                              </a:lnTo>
                              <a:cubicBezTo>
                                <a:pt x="13780" y="51852"/>
                                <a:pt x="16939" y="58541"/>
                                <a:pt x="21839" y="62862"/>
                              </a:cubicBezTo>
                              <a:lnTo>
                                <a:pt x="34598" y="67149"/>
                              </a:lnTo>
                              <a:lnTo>
                                <a:pt x="34598" y="79432"/>
                              </a:lnTo>
                              <a:lnTo>
                                <a:pt x="22353" y="77296"/>
                              </a:lnTo>
                              <a:cubicBezTo>
                                <a:pt x="8115" y="71773"/>
                                <a:pt x="0" y="58548"/>
                                <a:pt x="0" y="41108"/>
                              </a:cubicBezTo>
                              <a:cubicBezTo>
                                <a:pt x="0" y="23668"/>
                                <a:pt x="7844" y="9006"/>
                                <a:pt x="21405" y="2765"/>
                              </a:cubicBezTo>
                              <a:lnTo>
                                <a:pt x="3459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5" name="Shape 45"/>
                      <wps:cNvSpPr/>
                      <wps:spPr>
                        <a:xfrm>
                          <a:off x="1130986" y="579989"/>
                          <a:ext cx="30058" cy="14974"/>
                        </a:xfrm>
                        <a:custGeom>
                          <a:avLst/>
                          <a:gdLst/>
                          <a:ahLst/>
                          <a:cxnLst/>
                          <a:rect l="0" t="0" r="0" b="0"/>
                          <a:pathLst>
                            <a:path w="30058" h="14974">
                              <a:moveTo>
                                <a:pt x="27620" y="0"/>
                              </a:moveTo>
                              <a:lnTo>
                                <a:pt x="30058" y="10033"/>
                              </a:lnTo>
                              <a:cubicBezTo>
                                <a:pt x="25029" y="12268"/>
                                <a:pt x="16444" y="14974"/>
                                <a:pt x="3959" y="14974"/>
                              </a:cubicBezTo>
                              <a:lnTo>
                                <a:pt x="0" y="14283"/>
                              </a:lnTo>
                              <a:lnTo>
                                <a:pt x="0" y="2000"/>
                              </a:lnTo>
                              <a:lnTo>
                                <a:pt x="5915" y="3987"/>
                              </a:lnTo>
                              <a:cubicBezTo>
                                <a:pt x="16113" y="3987"/>
                                <a:pt x="22273" y="2235"/>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6" name="Shape 46"/>
                      <wps:cNvSpPr/>
                      <wps:spPr>
                        <a:xfrm>
                          <a:off x="1130986" y="514381"/>
                          <a:ext cx="34579" cy="42837"/>
                        </a:xfrm>
                        <a:custGeom>
                          <a:avLst/>
                          <a:gdLst/>
                          <a:ahLst/>
                          <a:cxnLst/>
                          <a:rect l="0" t="0" r="0" b="0"/>
                          <a:pathLst>
                            <a:path w="34579" h="42837">
                              <a:moveTo>
                                <a:pt x="2194" y="0"/>
                              </a:moveTo>
                              <a:cubicBezTo>
                                <a:pt x="27785" y="0"/>
                                <a:pt x="34579" y="22136"/>
                                <a:pt x="34579" y="36309"/>
                              </a:cubicBezTo>
                              <a:cubicBezTo>
                                <a:pt x="34579" y="39180"/>
                                <a:pt x="34261" y="41402"/>
                                <a:pt x="34096" y="42837"/>
                              </a:cubicBezTo>
                              <a:lnTo>
                                <a:pt x="0" y="42837"/>
                              </a:lnTo>
                              <a:lnTo>
                                <a:pt x="0" y="32804"/>
                              </a:lnTo>
                              <a:lnTo>
                                <a:pt x="20812" y="32804"/>
                              </a:lnTo>
                              <a:cubicBezTo>
                                <a:pt x="20977" y="23888"/>
                                <a:pt x="17091" y="10033"/>
                                <a:pt x="1051" y="10033"/>
                              </a:cubicBezTo>
                              <a:lnTo>
                                <a:pt x="0" y="10280"/>
                              </a:lnTo>
                              <a:lnTo>
                                <a:pt x="0" y="460"/>
                              </a:lnTo>
                              <a:lnTo>
                                <a:pt x="219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7" name="Shape 47"/>
                      <wps:cNvSpPr/>
                      <wps:spPr>
                        <a:xfrm>
                          <a:off x="1177065" y="545614"/>
                          <a:ext cx="30855" cy="49342"/>
                        </a:xfrm>
                        <a:custGeom>
                          <a:avLst/>
                          <a:gdLst/>
                          <a:ahLst/>
                          <a:cxnLst/>
                          <a:rect l="0" t="0" r="0" b="0"/>
                          <a:pathLst>
                            <a:path w="30855" h="49342">
                              <a:moveTo>
                                <a:pt x="30855" y="0"/>
                              </a:moveTo>
                              <a:lnTo>
                                <a:pt x="30855" y="10438"/>
                              </a:lnTo>
                              <a:lnTo>
                                <a:pt x="25026" y="11204"/>
                              </a:lnTo>
                              <a:cubicBezTo>
                                <a:pt x="18666" y="13712"/>
                                <a:pt x="14250" y="18131"/>
                                <a:pt x="14250" y="25619"/>
                              </a:cubicBezTo>
                              <a:cubicBezTo>
                                <a:pt x="14250" y="34699"/>
                                <a:pt x="20396" y="38991"/>
                                <a:pt x="27698" y="38991"/>
                              </a:cubicBezTo>
                              <a:lnTo>
                                <a:pt x="30855" y="37978"/>
                              </a:lnTo>
                              <a:lnTo>
                                <a:pt x="30855" y="47703"/>
                              </a:lnTo>
                              <a:lnTo>
                                <a:pt x="23965" y="49342"/>
                              </a:lnTo>
                              <a:cubicBezTo>
                                <a:pt x="8103" y="49342"/>
                                <a:pt x="0" y="38357"/>
                                <a:pt x="0" y="27206"/>
                              </a:cubicBezTo>
                              <a:cubicBezTo>
                                <a:pt x="0" y="13233"/>
                                <a:pt x="9472" y="4011"/>
                                <a:pt x="26992" y="343"/>
                              </a:cubicBezTo>
                              <a:lnTo>
                                <a:pt x="3085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8" name="Shape 48"/>
                      <wps:cNvSpPr/>
                      <wps:spPr>
                        <a:xfrm>
                          <a:off x="1182729" y="514525"/>
                          <a:ext cx="25191" cy="15940"/>
                        </a:xfrm>
                        <a:custGeom>
                          <a:avLst/>
                          <a:gdLst/>
                          <a:ahLst/>
                          <a:cxnLst/>
                          <a:rect l="0" t="0" r="0" b="0"/>
                          <a:pathLst>
                            <a:path w="25191" h="15940">
                              <a:moveTo>
                                <a:pt x="25191" y="0"/>
                              </a:moveTo>
                              <a:lnTo>
                                <a:pt x="25191" y="10516"/>
                              </a:lnTo>
                              <a:lnTo>
                                <a:pt x="23661" y="10213"/>
                              </a:lnTo>
                              <a:cubicBezTo>
                                <a:pt x="16370" y="10213"/>
                                <a:pt x="8751" y="12435"/>
                                <a:pt x="3239" y="15940"/>
                              </a:cubicBezTo>
                              <a:lnTo>
                                <a:pt x="0" y="6707"/>
                              </a:lnTo>
                              <a:lnTo>
                                <a:pt x="25191"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49" name="Shape 49"/>
                      <wps:cNvSpPr/>
                      <wps:spPr>
                        <a:xfrm>
                          <a:off x="1207920" y="514375"/>
                          <a:ext cx="31680" cy="78942"/>
                        </a:xfrm>
                        <a:custGeom>
                          <a:avLst/>
                          <a:gdLst/>
                          <a:ahLst/>
                          <a:cxnLst/>
                          <a:rect l="0" t="0" r="0" b="0"/>
                          <a:pathLst>
                            <a:path w="31680" h="78942">
                              <a:moveTo>
                                <a:pt x="565" y="0"/>
                              </a:moveTo>
                              <a:cubicBezTo>
                                <a:pt x="24555" y="0"/>
                                <a:pt x="30372" y="16090"/>
                                <a:pt x="30372" y="31547"/>
                              </a:cubicBezTo>
                              <a:lnTo>
                                <a:pt x="30372" y="60363"/>
                              </a:lnTo>
                              <a:cubicBezTo>
                                <a:pt x="30372" y="67056"/>
                                <a:pt x="30702" y="73584"/>
                                <a:pt x="31680" y="78829"/>
                              </a:cubicBezTo>
                              <a:lnTo>
                                <a:pt x="18714" y="78829"/>
                              </a:lnTo>
                              <a:lnTo>
                                <a:pt x="17583" y="69126"/>
                              </a:lnTo>
                              <a:lnTo>
                                <a:pt x="17088" y="69126"/>
                              </a:lnTo>
                              <a:cubicBezTo>
                                <a:pt x="14904" y="72149"/>
                                <a:pt x="11703" y="75012"/>
                                <a:pt x="7651" y="77121"/>
                              </a:cubicBezTo>
                              <a:lnTo>
                                <a:pt x="0" y="78942"/>
                              </a:lnTo>
                              <a:lnTo>
                                <a:pt x="0" y="69217"/>
                              </a:lnTo>
                              <a:lnTo>
                                <a:pt x="9295" y="66233"/>
                              </a:lnTo>
                              <a:cubicBezTo>
                                <a:pt x="12474" y="63827"/>
                                <a:pt x="14662" y="60604"/>
                                <a:pt x="15792" y="57341"/>
                              </a:cubicBezTo>
                              <a:cubicBezTo>
                                <a:pt x="16287" y="55905"/>
                                <a:pt x="16605" y="54305"/>
                                <a:pt x="16605" y="52883"/>
                              </a:cubicBezTo>
                              <a:lnTo>
                                <a:pt x="16605" y="39497"/>
                              </a:lnTo>
                              <a:lnTo>
                                <a:pt x="0" y="41677"/>
                              </a:lnTo>
                              <a:lnTo>
                                <a:pt x="0" y="31239"/>
                              </a:lnTo>
                              <a:lnTo>
                                <a:pt x="16287" y="29794"/>
                              </a:lnTo>
                              <a:lnTo>
                                <a:pt x="16287" y="28194"/>
                              </a:lnTo>
                              <a:cubicBezTo>
                                <a:pt x="16287" y="23422"/>
                                <a:pt x="15280" y="15778"/>
                                <a:pt x="8015" y="12254"/>
                              </a:cubicBezTo>
                              <a:lnTo>
                                <a:pt x="0" y="10666"/>
                              </a:lnTo>
                              <a:lnTo>
                                <a:pt x="0" y="150"/>
                              </a:lnTo>
                              <a:lnTo>
                                <a:pt x="56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0" name="Shape 50"/>
                      <wps:cNvSpPr/>
                      <wps:spPr>
                        <a:xfrm>
                          <a:off x="1260639" y="514376"/>
                          <a:ext cx="39370" cy="78829"/>
                        </a:xfrm>
                        <a:custGeom>
                          <a:avLst/>
                          <a:gdLst/>
                          <a:ahLst/>
                          <a:cxnLst/>
                          <a:rect l="0" t="0" r="0" b="0"/>
                          <a:pathLst>
                            <a:path w="39370" h="78829">
                              <a:moveTo>
                                <a:pt x="35319" y="0"/>
                              </a:moveTo>
                              <a:cubicBezTo>
                                <a:pt x="36932" y="0"/>
                                <a:pt x="38075" y="165"/>
                                <a:pt x="39370" y="482"/>
                              </a:cubicBezTo>
                              <a:lnTo>
                                <a:pt x="39370" y="13703"/>
                              </a:lnTo>
                              <a:cubicBezTo>
                                <a:pt x="37910" y="13385"/>
                                <a:pt x="36462" y="13220"/>
                                <a:pt x="34506" y="13220"/>
                              </a:cubicBezTo>
                              <a:cubicBezTo>
                                <a:pt x="24461" y="13220"/>
                                <a:pt x="17336" y="20713"/>
                                <a:pt x="15393" y="31217"/>
                              </a:cubicBezTo>
                              <a:cubicBezTo>
                                <a:pt x="15063" y="33134"/>
                                <a:pt x="14745" y="35357"/>
                                <a:pt x="14745" y="37757"/>
                              </a:cubicBezTo>
                              <a:lnTo>
                                <a:pt x="14745" y="78829"/>
                              </a:lnTo>
                              <a:lnTo>
                                <a:pt x="648" y="78829"/>
                              </a:lnTo>
                              <a:lnTo>
                                <a:pt x="648" y="25806"/>
                              </a:lnTo>
                              <a:cubicBezTo>
                                <a:pt x="648" y="16725"/>
                                <a:pt x="495" y="8915"/>
                                <a:pt x="0" y="1753"/>
                              </a:cubicBezTo>
                              <a:lnTo>
                                <a:pt x="12485" y="1753"/>
                              </a:lnTo>
                              <a:lnTo>
                                <a:pt x="12967" y="16878"/>
                              </a:lnTo>
                              <a:lnTo>
                                <a:pt x="13602" y="16878"/>
                              </a:lnTo>
                              <a:cubicBezTo>
                                <a:pt x="17171" y="6541"/>
                                <a:pt x="25756" y="0"/>
                                <a:pt x="35319"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1" name="Shape 51"/>
                      <wps:cNvSpPr/>
                      <wps:spPr>
                        <a:xfrm>
                          <a:off x="1306966" y="514537"/>
                          <a:ext cx="61875" cy="80429"/>
                        </a:xfrm>
                        <a:custGeom>
                          <a:avLst/>
                          <a:gdLst/>
                          <a:ahLst/>
                          <a:cxnLst/>
                          <a:rect l="0" t="0" r="0" b="0"/>
                          <a:pathLst>
                            <a:path w="61875" h="80429">
                              <a:moveTo>
                                <a:pt x="42113" y="0"/>
                              </a:moveTo>
                              <a:cubicBezTo>
                                <a:pt x="50546" y="0"/>
                                <a:pt x="57988" y="2070"/>
                                <a:pt x="61875" y="3988"/>
                              </a:cubicBezTo>
                              <a:lnTo>
                                <a:pt x="58648" y="14821"/>
                              </a:lnTo>
                              <a:cubicBezTo>
                                <a:pt x="55245" y="12903"/>
                                <a:pt x="49885" y="11150"/>
                                <a:pt x="42113" y="11150"/>
                              </a:cubicBezTo>
                              <a:cubicBezTo>
                                <a:pt x="24130" y="11150"/>
                                <a:pt x="14415" y="24206"/>
                                <a:pt x="14415" y="40297"/>
                              </a:cubicBezTo>
                              <a:cubicBezTo>
                                <a:pt x="14415" y="58127"/>
                                <a:pt x="26073" y="69114"/>
                                <a:pt x="41631" y="69114"/>
                              </a:cubicBezTo>
                              <a:cubicBezTo>
                                <a:pt x="49720" y="69114"/>
                                <a:pt x="55067" y="67056"/>
                                <a:pt x="59118" y="65303"/>
                              </a:cubicBezTo>
                              <a:lnTo>
                                <a:pt x="61557" y="75806"/>
                              </a:lnTo>
                              <a:cubicBezTo>
                                <a:pt x="57835" y="77724"/>
                                <a:pt x="49568" y="80429"/>
                                <a:pt x="39039" y="80429"/>
                              </a:cubicBezTo>
                              <a:cubicBezTo>
                                <a:pt x="15380" y="80429"/>
                                <a:pt x="0" y="64503"/>
                                <a:pt x="0" y="40932"/>
                              </a:cubicBezTo>
                              <a:cubicBezTo>
                                <a:pt x="0" y="17208"/>
                                <a:pt x="16522" y="0"/>
                                <a:pt x="42113"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2" name="Shape 52"/>
                      <wps:cNvSpPr/>
                      <wps:spPr>
                        <a:xfrm>
                          <a:off x="1385191" y="480144"/>
                          <a:ext cx="66739" cy="113068"/>
                        </a:xfrm>
                        <a:custGeom>
                          <a:avLst/>
                          <a:gdLst/>
                          <a:ahLst/>
                          <a:cxnLst/>
                          <a:rect l="0" t="0" r="0" b="0"/>
                          <a:pathLst>
                            <a:path w="66739" h="113068">
                              <a:moveTo>
                                <a:pt x="0" y="0"/>
                              </a:moveTo>
                              <a:lnTo>
                                <a:pt x="14262" y="0"/>
                              </a:lnTo>
                              <a:lnTo>
                                <a:pt x="14262" y="48095"/>
                              </a:lnTo>
                              <a:lnTo>
                                <a:pt x="14580" y="48095"/>
                              </a:lnTo>
                              <a:cubicBezTo>
                                <a:pt x="16853" y="44107"/>
                                <a:pt x="20409" y="40602"/>
                                <a:pt x="24791" y="38214"/>
                              </a:cubicBezTo>
                              <a:cubicBezTo>
                                <a:pt x="29007" y="35826"/>
                                <a:pt x="34024" y="34239"/>
                                <a:pt x="39370" y="34239"/>
                              </a:cubicBezTo>
                              <a:cubicBezTo>
                                <a:pt x="49899" y="34239"/>
                                <a:pt x="66739" y="40602"/>
                                <a:pt x="66739" y="67196"/>
                              </a:cubicBezTo>
                              <a:lnTo>
                                <a:pt x="66739" y="113068"/>
                              </a:lnTo>
                              <a:lnTo>
                                <a:pt x="52489" y="113068"/>
                              </a:lnTo>
                              <a:lnTo>
                                <a:pt x="52489" y="68796"/>
                              </a:lnTo>
                              <a:cubicBezTo>
                                <a:pt x="52489" y="56376"/>
                                <a:pt x="47790" y="45860"/>
                                <a:pt x="34354" y="45860"/>
                              </a:cubicBezTo>
                              <a:cubicBezTo>
                                <a:pt x="25108" y="45860"/>
                                <a:pt x="17818" y="52235"/>
                                <a:pt x="15240" y="59881"/>
                              </a:cubicBezTo>
                              <a:cubicBezTo>
                                <a:pt x="14415" y="61785"/>
                                <a:pt x="14262" y="63856"/>
                                <a:pt x="14262" y="66561"/>
                              </a:cubicBezTo>
                              <a:lnTo>
                                <a:pt x="14262" y="113068"/>
                              </a:lnTo>
                              <a:lnTo>
                                <a:pt x="0" y="113068"/>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3" name="Shape 53"/>
                      <wps:cNvSpPr/>
                      <wps:spPr>
                        <a:xfrm>
                          <a:off x="1503424" y="484131"/>
                          <a:ext cx="82944" cy="110833"/>
                        </a:xfrm>
                        <a:custGeom>
                          <a:avLst/>
                          <a:gdLst/>
                          <a:ahLst/>
                          <a:cxnLst/>
                          <a:rect l="0" t="0" r="0" b="0"/>
                          <a:pathLst>
                            <a:path w="82944" h="110833">
                              <a:moveTo>
                                <a:pt x="57035" y="0"/>
                              </a:moveTo>
                              <a:cubicBezTo>
                                <a:pt x="70638" y="0"/>
                                <a:pt x="79222" y="2857"/>
                                <a:pt x="82944" y="4763"/>
                              </a:cubicBezTo>
                              <a:lnTo>
                                <a:pt x="79553" y="16078"/>
                              </a:lnTo>
                              <a:cubicBezTo>
                                <a:pt x="74206" y="13526"/>
                                <a:pt x="66598" y="11620"/>
                                <a:pt x="57531" y="11620"/>
                              </a:cubicBezTo>
                              <a:cubicBezTo>
                                <a:pt x="31928" y="11620"/>
                                <a:pt x="14910" y="27698"/>
                                <a:pt x="14910" y="55893"/>
                              </a:cubicBezTo>
                              <a:cubicBezTo>
                                <a:pt x="14910" y="82169"/>
                                <a:pt x="30302" y="99047"/>
                                <a:pt x="56870" y="99047"/>
                              </a:cubicBezTo>
                              <a:cubicBezTo>
                                <a:pt x="65456" y="99047"/>
                                <a:pt x="74206" y="97295"/>
                                <a:pt x="79883" y="94590"/>
                              </a:cubicBezTo>
                              <a:lnTo>
                                <a:pt x="82791" y="105575"/>
                              </a:lnTo>
                              <a:cubicBezTo>
                                <a:pt x="77597" y="108128"/>
                                <a:pt x="67246" y="110833"/>
                                <a:pt x="53962" y="110833"/>
                              </a:cubicBezTo>
                              <a:cubicBezTo>
                                <a:pt x="23177" y="110833"/>
                                <a:pt x="0" y="91567"/>
                                <a:pt x="0" y="56362"/>
                              </a:cubicBezTo>
                              <a:cubicBezTo>
                                <a:pt x="0" y="22758"/>
                                <a:pt x="23177" y="0"/>
                                <a:pt x="5703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4" name="Shape 54"/>
                      <wps:cNvSpPr/>
                      <wps:spPr>
                        <a:xfrm>
                          <a:off x="1596076" y="514838"/>
                          <a:ext cx="34597" cy="79434"/>
                        </a:xfrm>
                        <a:custGeom>
                          <a:avLst/>
                          <a:gdLst/>
                          <a:ahLst/>
                          <a:cxnLst/>
                          <a:rect l="0" t="0" r="0" b="0"/>
                          <a:pathLst>
                            <a:path w="34597" h="79434">
                              <a:moveTo>
                                <a:pt x="34597" y="0"/>
                              </a:moveTo>
                              <a:lnTo>
                                <a:pt x="34597" y="9820"/>
                              </a:lnTo>
                              <a:lnTo>
                                <a:pt x="26298" y="11767"/>
                              </a:lnTo>
                              <a:cubicBezTo>
                                <a:pt x="18389" y="15895"/>
                                <a:pt x="14626" y="25060"/>
                                <a:pt x="13779" y="32347"/>
                              </a:cubicBezTo>
                              <a:lnTo>
                                <a:pt x="34597" y="32347"/>
                              </a:lnTo>
                              <a:lnTo>
                                <a:pt x="34597" y="42380"/>
                              </a:lnTo>
                              <a:lnTo>
                                <a:pt x="13614" y="42380"/>
                              </a:lnTo>
                              <a:cubicBezTo>
                                <a:pt x="13779" y="51854"/>
                                <a:pt x="16938" y="58544"/>
                                <a:pt x="21837" y="62864"/>
                              </a:cubicBezTo>
                              <a:lnTo>
                                <a:pt x="34597" y="67154"/>
                              </a:lnTo>
                              <a:lnTo>
                                <a:pt x="34597" y="79434"/>
                              </a:lnTo>
                              <a:lnTo>
                                <a:pt x="22352" y="77298"/>
                              </a:lnTo>
                              <a:cubicBezTo>
                                <a:pt x="8115" y="71775"/>
                                <a:pt x="0" y="58550"/>
                                <a:pt x="0" y="41110"/>
                              </a:cubicBezTo>
                              <a:cubicBezTo>
                                <a:pt x="0" y="23670"/>
                                <a:pt x="7844" y="9008"/>
                                <a:pt x="21399" y="2767"/>
                              </a:cubicBezTo>
                              <a:lnTo>
                                <a:pt x="3459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5" name="Shape 55"/>
                      <wps:cNvSpPr/>
                      <wps:spPr>
                        <a:xfrm>
                          <a:off x="1630673" y="579989"/>
                          <a:ext cx="30045" cy="14974"/>
                        </a:xfrm>
                        <a:custGeom>
                          <a:avLst/>
                          <a:gdLst/>
                          <a:ahLst/>
                          <a:cxnLst/>
                          <a:rect l="0" t="0" r="0" b="0"/>
                          <a:pathLst>
                            <a:path w="30045" h="14974">
                              <a:moveTo>
                                <a:pt x="27620" y="0"/>
                              </a:moveTo>
                              <a:lnTo>
                                <a:pt x="30045" y="10033"/>
                              </a:lnTo>
                              <a:cubicBezTo>
                                <a:pt x="25029" y="12268"/>
                                <a:pt x="16432" y="14974"/>
                                <a:pt x="3959" y="14974"/>
                              </a:cubicBezTo>
                              <a:lnTo>
                                <a:pt x="0" y="14283"/>
                              </a:lnTo>
                              <a:lnTo>
                                <a:pt x="0" y="2003"/>
                              </a:lnTo>
                              <a:lnTo>
                                <a:pt x="5903" y="3987"/>
                              </a:lnTo>
                              <a:cubicBezTo>
                                <a:pt x="16114" y="3987"/>
                                <a:pt x="22273" y="2235"/>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6" name="Shape 56"/>
                      <wps:cNvSpPr/>
                      <wps:spPr>
                        <a:xfrm>
                          <a:off x="1630673" y="514381"/>
                          <a:ext cx="34579" cy="42837"/>
                        </a:xfrm>
                        <a:custGeom>
                          <a:avLst/>
                          <a:gdLst/>
                          <a:ahLst/>
                          <a:cxnLst/>
                          <a:rect l="0" t="0" r="0" b="0"/>
                          <a:pathLst>
                            <a:path w="34579" h="42837">
                              <a:moveTo>
                                <a:pt x="2182" y="0"/>
                              </a:moveTo>
                              <a:cubicBezTo>
                                <a:pt x="27785" y="0"/>
                                <a:pt x="34579" y="22136"/>
                                <a:pt x="34579" y="36309"/>
                              </a:cubicBezTo>
                              <a:cubicBezTo>
                                <a:pt x="34579" y="39180"/>
                                <a:pt x="34249" y="41402"/>
                                <a:pt x="34097" y="42837"/>
                              </a:cubicBezTo>
                              <a:lnTo>
                                <a:pt x="0" y="42837"/>
                              </a:lnTo>
                              <a:lnTo>
                                <a:pt x="0" y="32804"/>
                              </a:lnTo>
                              <a:lnTo>
                                <a:pt x="20813" y="32804"/>
                              </a:lnTo>
                              <a:cubicBezTo>
                                <a:pt x="20978" y="23888"/>
                                <a:pt x="17079" y="10033"/>
                                <a:pt x="1039" y="10033"/>
                              </a:cubicBezTo>
                              <a:lnTo>
                                <a:pt x="0" y="10278"/>
                              </a:lnTo>
                              <a:lnTo>
                                <a:pt x="0" y="457"/>
                              </a:lnTo>
                              <a:lnTo>
                                <a:pt x="2182"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7" name="Shape 57"/>
                      <wps:cNvSpPr/>
                      <wps:spPr>
                        <a:xfrm>
                          <a:off x="1682253" y="514373"/>
                          <a:ext cx="67387" cy="78842"/>
                        </a:xfrm>
                        <a:custGeom>
                          <a:avLst/>
                          <a:gdLst/>
                          <a:ahLst/>
                          <a:cxnLst/>
                          <a:rect l="0" t="0" r="0" b="0"/>
                          <a:pathLst>
                            <a:path w="67387" h="78842">
                              <a:moveTo>
                                <a:pt x="39688" y="0"/>
                              </a:moveTo>
                              <a:cubicBezTo>
                                <a:pt x="50547" y="0"/>
                                <a:pt x="67387" y="6376"/>
                                <a:pt x="67387" y="32817"/>
                              </a:cubicBezTo>
                              <a:lnTo>
                                <a:pt x="67387" y="78842"/>
                              </a:lnTo>
                              <a:lnTo>
                                <a:pt x="53137" y="78842"/>
                              </a:lnTo>
                              <a:lnTo>
                                <a:pt x="53137" y="34404"/>
                              </a:lnTo>
                              <a:cubicBezTo>
                                <a:pt x="53137" y="21984"/>
                                <a:pt x="48438" y="11633"/>
                                <a:pt x="34989" y="11633"/>
                              </a:cubicBezTo>
                              <a:cubicBezTo>
                                <a:pt x="25591" y="11633"/>
                                <a:pt x="18301" y="18161"/>
                                <a:pt x="15875" y="25959"/>
                              </a:cubicBezTo>
                              <a:cubicBezTo>
                                <a:pt x="15228" y="27711"/>
                                <a:pt x="14898" y="30099"/>
                                <a:pt x="14898" y="32500"/>
                              </a:cubicBezTo>
                              <a:lnTo>
                                <a:pt x="14898" y="78842"/>
                              </a:lnTo>
                              <a:lnTo>
                                <a:pt x="648" y="78842"/>
                              </a:lnTo>
                              <a:lnTo>
                                <a:pt x="648" y="22619"/>
                              </a:lnTo>
                              <a:cubicBezTo>
                                <a:pt x="648" y="14656"/>
                                <a:pt x="483" y="8128"/>
                                <a:pt x="0" y="1753"/>
                              </a:cubicBezTo>
                              <a:lnTo>
                                <a:pt x="12636" y="1753"/>
                              </a:lnTo>
                              <a:lnTo>
                                <a:pt x="13437" y="14504"/>
                              </a:lnTo>
                              <a:lnTo>
                                <a:pt x="13767" y="14504"/>
                              </a:lnTo>
                              <a:cubicBezTo>
                                <a:pt x="17653" y="7176"/>
                                <a:pt x="26721" y="0"/>
                                <a:pt x="39688"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8" name="Shape 58"/>
                      <wps:cNvSpPr/>
                      <wps:spPr>
                        <a:xfrm>
                          <a:off x="1763397" y="497661"/>
                          <a:ext cx="46507" cy="97307"/>
                        </a:xfrm>
                        <a:custGeom>
                          <a:avLst/>
                          <a:gdLst/>
                          <a:ahLst/>
                          <a:cxnLst/>
                          <a:rect l="0" t="0" r="0" b="0"/>
                          <a:pathLst>
                            <a:path w="46507" h="97307">
                              <a:moveTo>
                                <a:pt x="26086" y="0"/>
                              </a:moveTo>
                              <a:lnTo>
                                <a:pt x="26086" y="18466"/>
                              </a:lnTo>
                              <a:lnTo>
                                <a:pt x="46507" y="18466"/>
                              </a:lnTo>
                              <a:lnTo>
                                <a:pt x="46507" y="29134"/>
                              </a:lnTo>
                              <a:lnTo>
                                <a:pt x="26086" y="29134"/>
                              </a:lnTo>
                              <a:lnTo>
                                <a:pt x="26086" y="70701"/>
                              </a:lnTo>
                              <a:cubicBezTo>
                                <a:pt x="26086" y="80264"/>
                                <a:pt x="28829" y="85674"/>
                                <a:pt x="36779" y="85674"/>
                              </a:cubicBezTo>
                              <a:cubicBezTo>
                                <a:pt x="40666" y="85674"/>
                                <a:pt x="42939" y="85357"/>
                                <a:pt x="45034" y="84722"/>
                              </a:cubicBezTo>
                              <a:lnTo>
                                <a:pt x="45682" y="95238"/>
                              </a:lnTo>
                              <a:cubicBezTo>
                                <a:pt x="42939" y="96355"/>
                                <a:pt x="38557" y="97307"/>
                                <a:pt x="33058" y="97307"/>
                              </a:cubicBezTo>
                              <a:cubicBezTo>
                                <a:pt x="26404" y="97307"/>
                                <a:pt x="21057" y="95072"/>
                                <a:pt x="17666" y="91249"/>
                              </a:cubicBezTo>
                              <a:cubicBezTo>
                                <a:pt x="13615" y="87109"/>
                                <a:pt x="12154" y="80264"/>
                                <a:pt x="12154" y="71183"/>
                              </a:cubicBezTo>
                              <a:lnTo>
                                <a:pt x="12154" y="29134"/>
                              </a:lnTo>
                              <a:lnTo>
                                <a:pt x="0" y="29134"/>
                              </a:lnTo>
                              <a:lnTo>
                                <a:pt x="0" y="18466"/>
                              </a:lnTo>
                              <a:lnTo>
                                <a:pt x="12154" y="18466"/>
                              </a:lnTo>
                              <a:lnTo>
                                <a:pt x="12154" y="4293"/>
                              </a:lnTo>
                              <a:lnTo>
                                <a:pt x="26086"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59" name="Shape 59"/>
                      <wps:cNvSpPr/>
                      <wps:spPr>
                        <a:xfrm>
                          <a:off x="1825282" y="514376"/>
                          <a:ext cx="39357" cy="78829"/>
                        </a:xfrm>
                        <a:custGeom>
                          <a:avLst/>
                          <a:gdLst/>
                          <a:ahLst/>
                          <a:cxnLst/>
                          <a:rect l="0" t="0" r="0" b="0"/>
                          <a:pathLst>
                            <a:path w="39357" h="78829">
                              <a:moveTo>
                                <a:pt x="35319" y="0"/>
                              </a:moveTo>
                              <a:cubicBezTo>
                                <a:pt x="36932" y="0"/>
                                <a:pt x="38075" y="165"/>
                                <a:pt x="39357" y="482"/>
                              </a:cubicBezTo>
                              <a:lnTo>
                                <a:pt x="39357" y="13703"/>
                              </a:lnTo>
                              <a:cubicBezTo>
                                <a:pt x="37910" y="13385"/>
                                <a:pt x="36449" y="13220"/>
                                <a:pt x="34493" y="13220"/>
                              </a:cubicBezTo>
                              <a:cubicBezTo>
                                <a:pt x="24461" y="13220"/>
                                <a:pt x="17336" y="20713"/>
                                <a:pt x="15380" y="31217"/>
                              </a:cubicBezTo>
                              <a:cubicBezTo>
                                <a:pt x="15063" y="33134"/>
                                <a:pt x="14745" y="35357"/>
                                <a:pt x="14745" y="37757"/>
                              </a:cubicBezTo>
                              <a:lnTo>
                                <a:pt x="14745" y="78829"/>
                              </a:lnTo>
                              <a:lnTo>
                                <a:pt x="648" y="78829"/>
                              </a:lnTo>
                              <a:lnTo>
                                <a:pt x="648" y="25806"/>
                              </a:lnTo>
                              <a:cubicBezTo>
                                <a:pt x="648" y="16725"/>
                                <a:pt x="483" y="8915"/>
                                <a:pt x="0" y="1753"/>
                              </a:cubicBezTo>
                              <a:lnTo>
                                <a:pt x="12472" y="1753"/>
                              </a:lnTo>
                              <a:lnTo>
                                <a:pt x="12954" y="16878"/>
                              </a:lnTo>
                              <a:lnTo>
                                <a:pt x="13602" y="16878"/>
                              </a:lnTo>
                              <a:cubicBezTo>
                                <a:pt x="17171" y="6541"/>
                                <a:pt x="25743" y="0"/>
                                <a:pt x="35319"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0" name="Shape 60"/>
                      <wps:cNvSpPr/>
                      <wps:spPr>
                        <a:xfrm>
                          <a:off x="1871756" y="514838"/>
                          <a:ext cx="34596" cy="79434"/>
                        </a:xfrm>
                        <a:custGeom>
                          <a:avLst/>
                          <a:gdLst/>
                          <a:ahLst/>
                          <a:cxnLst/>
                          <a:rect l="0" t="0" r="0" b="0"/>
                          <a:pathLst>
                            <a:path w="34596" h="79434">
                              <a:moveTo>
                                <a:pt x="34596" y="0"/>
                              </a:moveTo>
                              <a:lnTo>
                                <a:pt x="34596" y="9820"/>
                              </a:lnTo>
                              <a:lnTo>
                                <a:pt x="26297" y="11767"/>
                              </a:lnTo>
                              <a:cubicBezTo>
                                <a:pt x="18384" y="15895"/>
                                <a:pt x="14618" y="25060"/>
                                <a:pt x="13779" y="32347"/>
                              </a:cubicBezTo>
                              <a:lnTo>
                                <a:pt x="34596" y="32347"/>
                              </a:lnTo>
                              <a:lnTo>
                                <a:pt x="34596" y="42380"/>
                              </a:lnTo>
                              <a:lnTo>
                                <a:pt x="13614" y="42380"/>
                              </a:lnTo>
                              <a:cubicBezTo>
                                <a:pt x="13779" y="51854"/>
                                <a:pt x="16939" y="58544"/>
                                <a:pt x="21837" y="62864"/>
                              </a:cubicBezTo>
                              <a:lnTo>
                                <a:pt x="34596" y="67154"/>
                              </a:lnTo>
                              <a:lnTo>
                                <a:pt x="34596" y="79434"/>
                              </a:lnTo>
                              <a:lnTo>
                                <a:pt x="22352" y="77298"/>
                              </a:lnTo>
                              <a:cubicBezTo>
                                <a:pt x="8115" y="71775"/>
                                <a:pt x="0" y="58550"/>
                                <a:pt x="0" y="41110"/>
                              </a:cubicBezTo>
                              <a:cubicBezTo>
                                <a:pt x="0" y="23670"/>
                                <a:pt x="7844" y="9008"/>
                                <a:pt x="21399" y="2767"/>
                              </a:cubicBezTo>
                              <a:lnTo>
                                <a:pt x="34596"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1" name="Shape 61"/>
                      <wps:cNvSpPr/>
                      <wps:spPr>
                        <a:xfrm>
                          <a:off x="1906353" y="579989"/>
                          <a:ext cx="30046" cy="14974"/>
                        </a:xfrm>
                        <a:custGeom>
                          <a:avLst/>
                          <a:gdLst/>
                          <a:ahLst/>
                          <a:cxnLst/>
                          <a:rect l="0" t="0" r="0" b="0"/>
                          <a:pathLst>
                            <a:path w="30046" h="14974">
                              <a:moveTo>
                                <a:pt x="27621" y="0"/>
                              </a:moveTo>
                              <a:lnTo>
                                <a:pt x="30046" y="10033"/>
                              </a:lnTo>
                              <a:cubicBezTo>
                                <a:pt x="25029" y="12268"/>
                                <a:pt x="16432" y="14974"/>
                                <a:pt x="3960" y="14974"/>
                              </a:cubicBezTo>
                              <a:lnTo>
                                <a:pt x="0" y="14283"/>
                              </a:lnTo>
                              <a:lnTo>
                                <a:pt x="0" y="2003"/>
                              </a:lnTo>
                              <a:lnTo>
                                <a:pt x="5904" y="3987"/>
                              </a:lnTo>
                              <a:cubicBezTo>
                                <a:pt x="16115" y="3987"/>
                                <a:pt x="22261" y="2235"/>
                                <a:pt x="2762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2" name="Shape 62"/>
                      <wps:cNvSpPr/>
                      <wps:spPr>
                        <a:xfrm>
                          <a:off x="1906353" y="514381"/>
                          <a:ext cx="34580" cy="42837"/>
                        </a:xfrm>
                        <a:custGeom>
                          <a:avLst/>
                          <a:gdLst/>
                          <a:ahLst/>
                          <a:cxnLst/>
                          <a:rect l="0" t="0" r="0" b="0"/>
                          <a:pathLst>
                            <a:path w="34580" h="42837">
                              <a:moveTo>
                                <a:pt x="2183" y="0"/>
                              </a:moveTo>
                              <a:cubicBezTo>
                                <a:pt x="27786" y="0"/>
                                <a:pt x="34580" y="22136"/>
                                <a:pt x="34580" y="36309"/>
                              </a:cubicBezTo>
                              <a:cubicBezTo>
                                <a:pt x="34580" y="39180"/>
                                <a:pt x="34250" y="41402"/>
                                <a:pt x="34098" y="42837"/>
                              </a:cubicBezTo>
                              <a:lnTo>
                                <a:pt x="0" y="42837"/>
                              </a:lnTo>
                              <a:lnTo>
                                <a:pt x="0" y="32804"/>
                              </a:lnTo>
                              <a:lnTo>
                                <a:pt x="20813" y="32804"/>
                              </a:lnTo>
                              <a:cubicBezTo>
                                <a:pt x="20966" y="23888"/>
                                <a:pt x="17080" y="10033"/>
                                <a:pt x="1039" y="10033"/>
                              </a:cubicBezTo>
                              <a:lnTo>
                                <a:pt x="0" y="10278"/>
                              </a:lnTo>
                              <a:lnTo>
                                <a:pt x="0" y="457"/>
                              </a:lnTo>
                              <a:lnTo>
                                <a:pt x="2183"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3" name="Shape 63"/>
                      <wps:cNvSpPr/>
                      <wps:spPr>
                        <a:xfrm>
                          <a:off x="0" y="484086"/>
                          <a:ext cx="66089" cy="110872"/>
                        </a:xfrm>
                        <a:custGeom>
                          <a:avLst/>
                          <a:gdLst/>
                          <a:ahLst/>
                          <a:cxnLst/>
                          <a:rect l="0" t="0" r="0" b="0"/>
                          <a:pathLst>
                            <a:path w="66089" h="110872">
                              <a:moveTo>
                                <a:pt x="37590" y="0"/>
                              </a:moveTo>
                              <a:cubicBezTo>
                                <a:pt x="48754" y="0"/>
                                <a:pt x="56856" y="2566"/>
                                <a:pt x="61720" y="5271"/>
                              </a:cubicBezTo>
                              <a:lnTo>
                                <a:pt x="57822" y="16573"/>
                              </a:lnTo>
                              <a:cubicBezTo>
                                <a:pt x="54266" y="14669"/>
                                <a:pt x="46976" y="11481"/>
                                <a:pt x="37095" y="11481"/>
                              </a:cubicBezTo>
                              <a:cubicBezTo>
                                <a:pt x="22198" y="11481"/>
                                <a:pt x="16534" y="20244"/>
                                <a:pt x="16534" y="27560"/>
                              </a:cubicBezTo>
                              <a:cubicBezTo>
                                <a:pt x="16534" y="37605"/>
                                <a:pt x="23163" y="42545"/>
                                <a:pt x="38238" y="48260"/>
                              </a:cubicBezTo>
                              <a:cubicBezTo>
                                <a:pt x="56704" y="55270"/>
                                <a:pt x="66089" y="64059"/>
                                <a:pt x="66089" y="79807"/>
                              </a:cubicBezTo>
                              <a:cubicBezTo>
                                <a:pt x="66089" y="96380"/>
                                <a:pt x="53618" y="110872"/>
                                <a:pt x="27862" y="110872"/>
                              </a:cubicBezTo>
                              <a:cubicBezTo>
                                <a:pt x="22598" y="110872"/>
                                <a:pt x="17090" y="110075"/>
                                <a:pt x="12168" y="108801"/>
                              </a:cubicBezTo>
                              <a:lnTo>
                                <a:pt x="0" y="103874"/>
                              </a:lnTo>
                              <a:lnTo>
                                <a:pt x="0" y="103869"/>
                              </a:lnTo>
                              <a:lnTo>
                                <a:pt x="3567" y="92228"/>
                              </a:lnTo>
                              <a:cubicBezTo>
                                <a:pt x="9892" y="96063"/>
                                <a:pt x="19112" y="99238"/>
                                <a:pt x="28827" y="99238"/>
                              </a:cubicBezTo>
                              <a:cubicBezTo>
                                <a:pt x="43255" y="99238"/>
                                <a:pt x="51675" y="91758"/>
                                <a:pt x="51675" y="80925"/>
                              </a:cubicBezTo>
                              <a:cubicBezTo>
                                <a:pt x="51675" y="70892"/>
                                <a:pt x="45845" y="65164"/>
                                <a:pt x="31101" y="59576"/>
                              </a:cubicBezTo>
                              <a:cubicBezTo>
                                <a:pt x="13270" y="53378"/>
                                <a:pt x="2284" y="44310"/>
                                <a:pt x="2284" y="29159"/>
                              </a:cubicBezTo>
                              <a:cubicBezTo>
                                <a:pt x="2284" y="12421"/>
                                <a:pt x="16356" y="0"/>
                                <a:pt x="3759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4" name="Shape 64"/>
                      <wps:cNvSpPr/>
                      <wps:spPr>
                        <a:xfrm>
                          <a:off x="80181" y="514489"/>
                          <a:ext cx="38227" cy="80464"/>
                        </a:xfrm>
                        <a:custGeom>
                          <a:avLst/>
                          <a:gdLst/>
                          <a:ahLst/>
                          <a:cxnLst/>
                          <a:rect l="0" t="0" r="0" b="0"/>
                          <a:pathLst>
                            <a:path w="38227" h="80464">
                              <a:moveTo>
                                <a:pt x="38227" y="0"/>
                              </a:moveTo>
                              <a:lnTo>
                                <a:pt x="38227" y="10462"/>
                              </a:lnTo>
                              <a:lnTo>
                                <a:pt x="27665" y="13004"/>
                              </a:lnTo>
                              <a:cubicBezTo>
                                <a:pt x="18508" y="17991"/>
                                <a:pt x="14415" y="29340"/>
                                <a:pt x="14415" y="40332"/>
                              </a:cubicBezTo>
                              <a:cubicBezTo>
                                <a:pt x="14415" y="57210"/>
                                <a:pt x="24295" y="69948"/>
                                <a:pt x="38227" y="69948"/>
                              </a:cubicBezTo>
                              <a:lnTo>
                                <a:pt x="38227" y="80355"/>
                              </a:lnTo>
                              <a:lnTo>
                                <a:pt x="37579" y="80464"/>
                              </a:lnTo>
                              <a:cubicBezTo>
                                <a:pt x="16358" y="80464"/>
                                <a:pt x="0" y="65186"/>
                                <a:pt x="0" y="40815"/>
                              </a:cubicBezTo>
                              <a:cubicBezTo>
                                <a:pt x="0" y="21469"/>
                                <a:pt x="9658" y="8117"/>
                                <a:pt x="23644" y="2650"/>
                              </a:cubicBezTo>
                              <a:lnTo>
                                <a:pt x="3822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5" name="Shape 65"/>
                      <wps:cNvSpPr/>
                      <wps:spPr>
                        <a:xfrm>
                          <a:off x="118408" y="514371"/>
                          <a:ext cx="38379" cy="80473"/>
                        </a:xfrm>
                        <a:custGeom>
                          <a:avLst/>
                          <a:gdLst/>
                          <a:ahLst/>
                          <a:cxnLst/>
                          <a:rect l="0" t="0" r="0" b="0"/>
                          <a:pathLst>
                            <a:path w="38379" h="80473">
                              <a:moveTo>
                                <a:pt x="648" y="0"/>
                              </a:moveTo>
                              <a:cubicBezTo>
                                <a:pt x="23152" y="0"/>
                                <a:pt x="38379" y="16091"/>
                                <a:pt x="38379" y="39650"/>
                              </a:cubicBezTo>
                              <a:cubicBezTo>
                                <a:pt x="38379" y="61042"/>
                                <a:pt x="27085" y="73371"/>
                                <a:pt x="13444" y="78198"/>
                              </a:cubicBezTo>
                              <a:lnTo>
                                <a:pt x="0" y="80473"/>
                              </a:lnTo>
                              <a:lnTo>
                                <a:pt x="0" y="70066"/>
                              </a:lnTo>
                              <a:cubicBezTo>
                                <a:pt x="13601" y="70066"/>
                                <a:pt x="23813" y="57493"/>
                                <a:pt x="23813" y="40119"/>
                              </a:cubicBezTo>
                              <a:cubicBezTo>
                                <a:pt x="23813" y="27063"/>
                                <a:pt x="17183" y="10503"/>
                                <a:pt x="317" y="10503"/>
                              </a:cubicBezTo>
                              <a:lnTo>
                                <a:pt x="0" y="10580"/>
                              </a:lnTo>
                              <a:lnTo>
                                <a:pt x="0" y="118"/>
                              </a:lnTo>
                              <a:lnTo>
                                <a:pt x="64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6" name="Shape 66"/>
                      <wps:cNvSpPr/>
                      <wps:spPr>
                        <a:xfrm>
                          <a:off x="169107" y="514517"/>
                          <a:ext cx="61862" cy="80442"/>
                        </a:xfrm>
                        <a:custGeom>
                          <a:avLst/>
                          <a:gdLst/>
                          <a:ahLst/>
                          <a:cxnLst/>
                          <a:rect l="0" t="0" r="0" b="0"/>
                          <a:pathLst>
                            <a:path w="61862" h="80442">
                              <a:moveTo>
                                <a:pt x="42113" y="0"/>
                              </a:moveTo>
                              <a:cubicBezTo>
                                <a:pt x="50533" y="0"/>
                                <a:pt x="57976" y="2070"/>
                                <a:pt x="61862" y="3988"/>
                              </a:cubicBezTo>
                              <a:lnTo>
                                <a:pt x="58636" y="14808"/>
                              </a:lnTo>
                              <a:cubicBezTo>
                                <a:pt x="55245" y="12904"/>
                                <a:pt x="49886" y="11151"/>
                                <a:pt x="42113" y="11151"/>
                              </a:cubicBezTo>
                              <a:cubicBezTo>
                                <a:pt x="24143" y="11151"/>
                                <a:pt x="14415" y="24219"/>
                                <a:pt x="14415" y="40298"/>
                              </a:cubicBezTo>
                              <a:cubicBezTo>
                                <a:pt x="14415" y="58116"/>
                                <a:pt x="26073" y="69127"/>
                                <a:pt x="41630" y="69127"/>
                              </a:cubicBezTo>
                              <a:cubicBezTo>
                                <a:pt x="49721" y="69127"/>
                                <a:pt x="55054" y="67069"/>
                                <a:pt x="59118" y="65304"/>
                              </a:cubicBezTo>
                              <a:lnTo>
                                <a:pt x="61557" y="75819"/>
                              </a:lnTo>
                              <a:cubicBezTo>
                                <a:pt x="57810" y="77737"/>
                                <a:pt x="49556" y="80442"/>
                                <a:pt x="39027" y="80442"/>
                              </a:cubicBezTo>
                              <a:cubicBezTo>
                                <a:pt x="15392" y="80442"/>
                                <a:pt x="0" y="64504"/>
                                <a:pt x="0" y="40945"/>
                              </a:cubicBezTo>
                              <a:cubicBezTo>
                                <a:pt x="0" y="17209"/>
                                <a:pt x="16523" y="0"/>
                                <a:pt x="42113"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6" name="Shape 38236"/>
                      <wps:cNvSpPr/>
                      <wps:spPr>
                        <a:xfrm>
                          <a:off x="247333" y="516113"/>
                          <a:ext cx="14262" cy="77088"/>
                        </a:xfrm>
                        <a:custGeom>
                          <a:avLst/>
                          <a:gdLst/>
                          <a:ahLst/>
                          <a:cxnLst/>
                          <a:rect l="0" t="0" r="0" b="0"/>
                          <a:pathLst>
                            <a:path w="14262" h="77088">
                              <a:moveTo>
                                <a:pt x="0" y="0"/>
                              </a:moveTo>
                              <a:lnTo>
                                <a:pt x="14262" y="0"/>
                              </a:lnTo>
                              <a:lnTo>
                                <a:pt x="14262" y="77088"/>
                              </a:lnTo>
                              <a:lnTo>
                                <a:pt x="0" y="77088"/>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8" name="Shape 68"/>
                      <wps:cNvSpPr/>
                      <wps:spPr>
                        <a:xfrm>
                          <a:off x="245554" y="485684"/>
                          <a:ext cx="17818" cy="17361"/>
                        </a:xfrm>
                        <a:custGeom>
                          <a:avLst/>
                          <a:gdLst/>
                          <a:ahLst/>
                          <a:cxnLst/>
                          <a:rect l="0" t="0" r="0" b="0"/>
                          <a:pathLst>
                            <a:path w="17818" h="17361">
                              <a:moveTo>
                                <a:pt x="8915" y="0"/>
                              </a:moveTo>
                              <a:cubicBezTo>
                                <a:pt x="14262" y="0"/>
                                <a:pt x="17653" y="3811"/>
                                <a:pt x="17653" y="8764"/>
                              </a:cubicBezTo>
                              <a:cubicBezTo>
                                <a:pt x="17818" y="13551"/>
                                <a:pt x="14262" y="17361"/>
                                <a:pt x="8585" y="17361"/>
                              </a:cubicBezTo>
                              <a:cubicBezTo>
                                <a:pt x="3556" y="17361"/>
                                <a:pt x="0" y="13551"/>
                                <a:pt x="0" y="8764"/>
                              </a:cubicBezTo>
                              <a:cubicBezTo>
                                <a:pt x="0" y="3811"/>
                                <a:pt x="3721" y="0"/>
                                <a:pt x="891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69" name="Shape 69"/>
                      <wps:cNvSpPr/>
                      <wps:spPr>
                        <a:xfrm>
                          <a:off x="279082" y="545592"/>
                          <a:ext cx="30861" cy="49369"/>
                        </a:xfrm>
                        <a:custGeom>
                          <a:avLst/>
                          <a:gdLst/>
                          <a:ahLst/>
                          <a:cxnLst/>
                          <a:rect l="0" t="0" r="0" b="0"/>
                          <a:pathLst>
                            <a:path w="30861" h="49369">
                              <a:moveTo>
                                <a:pt x="30861" y="0"/>
                              </a:moveTo>
                              <a:lnTo>
                                <a:pt x="30861" y="10456"/>
                              </a:lnTo>
                              <a:lnTo>
                                <a:pt x="25027" y="11223"/>
                              </a:lnTo>
                              <a:cubicBezTo>
                                <a:pt x="18666" y="13733"/>
                                <a:pt x="14250" y="18152"/>
                                <a:pt x="14250" y="25633"/>
                              </a:cubicBezTo>
                              <a:cubicBezTo>
                                <a:pt x="14250" y="34713"/>
                                <a:pt x="20422" y="39019"/>
                                <a:pt x="27699" y="39019"/>
                              </a:cubicBezTo>
                              <a:lnTo>
                                <a:pt x="30861" y="38002"/>
                              </a:lnTo>
                              <a:lnTo>
                                <a:pt x="30861" y="47726"/>
                              </a:lnTo>
                              <a:lnTo>
                                <a:pt x="23965" y="49369"/>
                              </a:lnTo>
                              <a:cubicBezTo>
                                <a:pt x="8103" y="49369"/>
                                <a:pt x="0" y="38358"/>
                                <a:pt x="0" y="27221"/>
                              </a:cubicBezTo>
                              <a:cubicBezTo>
                                <a:pt x="0" y="13247"/>
                                <a:pt x="9480" y="4025"/>
                                <a:pt x="26998" y="346"/>
                              </a:cubicBezTo>
                              <a:lnTo>
                                <a:pt x="30861"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0" name="Shape 70"/>
                      <wps:cNvSpPr/>
                      <wps:spPr>
                        <a:xfrm>
                          <a:off x="284759" y="514515"/>
                          <a:ext cx="25184" cy="15942"/>
                        </a:xfrm>
                        <a:custGeom>
                          <a:avLst/>
                          <a:gdLst/>
                          <a:ahLst/>
                          <a:cxnLst/>
                          <a:rect l="0" t="0" r="0" b="0"/>
                          <a:pathLst>
                            <a:path w="25184" h="15942">
                              <a:moveTo>
                                <a:pt x="25184" y="0"/>
                              </a:moveTo>
                              <a:lnTo>
                                <a:pt x="25184" y="10516"/>
                              </a:lnTo>
                              <a:lnTo>
                                <a:pt x="23660" y="10215"/>
                              </a:lnTo>
                              <a:cubicBezTo>
                                <a:pt x="16358" y="10215"/>
                                <a:pt x="8737" y="12425"/>
                                <a:pt x="3239" y="15942"/>
                              </a:cubicBezTo>
                              <a:lnTo>
                                <a:pt x="0" y="6684"/>
                              </a:lnTo>
                              <a:lnTo>
                                <a:pt x="2518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1" name="Shape 71"/>
                      <wps:cNvSpPr/>
                      <wps:spPr>
                        <a:xfrm>
                          <a:off x="309943" y="514367"/>
                          <a:ext cx="31674" cy="78950"/>
                        </a:xfrm>
                        <a:custGeom>
                          <a:avLst/>
                          <a:gdLst/>
                          <a:ahLst/>
                          <a:cxnLst/>
                          <a:rect l="0" t="0" r="0" b="0"/>
                          <a:pathLst>
                            <a:path w="31674" h="78950">
                              <a:moveTo>
                                <a:pt x="559" y="0"/>
                              </a:moveTo>
                              <a:cubicBezTo>
                                <a:pt x="24536" y="0"/>
                                <a:pt x="30366" y="16090"/>
                                <a:pt x="30366" y="31534"/>
                              </a:cubicBezTo>
                              <a:lnTo>
                                <a:pt x="30366" y="60363"/>
                              </a:lnTo>
                              <a:cubicBezTo>
                                <a:pt x="30366" y="67056"/>
                                <a:pt x="30683" y="73596"/>
                                <a:pt x="31674" y="78841"/>
                              </a:cubicBezTo>
                              <a:lnTo>
                                <a:pt x="18695" y="78841"/>
                              </a:lnTo>
                              <a:lnTo>
                                <a:pt x="17577" y="69126"/>
                              </a:lnTo>
                              <a:lnTo>
                                <a:pt x="17094" y="69126"/>
                              </a:lnTo>
                              <a:cubicBezTo>
                                <a:pt x="14904" y="72148"/>
                                <a:pt x="11703" y="75016"/>
                                <a:pt x="7652" y="77126"/>
                              </a:cubicBezTo>
                              <a:lnTo>
                                <a:pt x="0" y="78950"/>
                              </a:lnTo>
                              <a:lnTo>
                                <a:pt x="0" y="69226"/>
                              </a:lnTo>
                              <a:lnTo>
                                <a:pt x="9294" y="66238"/>
                              </a:lnTo>
                              <a:cubicBezTo>
                                <a:pt x="12472" y="63827"/>
                                <a:pt x="14656" y="60598"/>
                                <a:pt x="15786" y="57328"/>
                              </a:cubicBezTo>
                              <a:cubicBezTo>
                                <a:pt x="16282" y="55905"/>
                                <a:pt x="16612" y="54305"/>
                                <a:pt x="16612" y="52870"/>
                              </a:cubicBezTo>
                              <a:lnTo>
                                <a:pt x="16612" y="39497"/>
                              </a:lnTo>
                              <a:lnTo>
                                <a:pt x="0" y="41680"/>
                              </a:lnTo>
                              <a:lnTo>
                                <a:pt x="0" y="31224"/>
                              </a:lnTo>
                              <a:lnTo>
                                <a:pt x="16282" y="29769"/>
                              </a:lnTo>
                              <a:lnTo>
                                <a:pt x="16282" y="28181"/>
                              </a:lnTo>
                              <a:cubicBezTo>
                                <a:pt x="16282" y="23419"/>
                                <a:pt x="15282" y="15777"/>
                                <a:pt x="8020" y="12254"/>
                              </a:cubicBezTo>
                              <a:lnTo>
                                <a:pt x="0" y="10664"/>
                              </a:lnTo>
                              <a:lnTo>
                                <a:pt x="0" y="148"/>
                              </a:lnTo>
                              <a:lnTo>
                                <a:pt x="559"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7" name="Shape 38237"/>
                      <wps:cNvSpPr/>
                      <wps:spPr>
                        <a:xfrm>
                          <a:off x="363309" y="480121"/>
                          <a:ext cx="14250" cy="113094"/>
                        </a:xfrm>
                        <a:custGeom>
                          <a:avLst/>
                          <a:gdLst/>
                          <a:ahLst/>
                          <a:cxnLst/>
                          <a:rect l="0" t="0" r="0" b="0"/>
                          <a:pathLst>
                            <a:path w="14250" h="113094">
                              <a:moveTo>
                                <a:pt x="0" y="0"/>
                              </a:moveTo>
                              <a:lnTo>
                                <a:pt x="14250" y="0"/>
                              </a:lnTo>
                              <a:lnTo>
                                <a:pt x="14250" y="113094"/>
                              </a:lnTo>
                              <a:lnTo>
                                <a:pt x="0" y="113094"/>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3" name="Shape 73"/>
                      <wps:cNvSpPr/>
                      <wps:spPr>
                        <a:xfrm>
                          <a:off x="436358" y="485056"/>
                          <a:ext cx="33604" cy="108153"/>
                        </a:xfrm>
                        <a:custGeom>
                          <a:avLst/>
                          <a:gdLst/>
                          <a:ahLst/>
                          <a:cxnLst/>
                          <a:rect l="0" t="0" r="0" b="0"/>
                          <a:pathLst>
                            <a:path w="33604" h="108153">
                              <a:moveTo>
                                <a:pt x="27051" y="0"/>
                              </a:moveTo>
                              <a:lnTo>
                                <a:pt x="33604" y="836"/>
                              </a:lnTo>
                              <a:lnTo>
                                <a:pt x="33604" y="12717"/>
                              </a:lnTo>
                              <a:lnTo>
                                <a:pt x="27368" y="10985"/>
                              </a:lnTo>
                              <a:cubicBezTo>
                                <a:pt x="21222" y="10985"/>
                                <a:pt x="16535" y="11455"/>
                                <a:pt x="14084" y="12116"/>
                              </a:cubicBezTo>
                              <a:lnTo>
                                <a:pt x="14084" y="53835"/>
                              </a:lnTo>
                              <a:cubicBezTo>
                                <a:pt x="17170" y="54635"/>
                                <a:pt x="21056" y="54952"/>
                                <a:pt x="25756" y="54952"/>
                              </a:cubicBezTo>
                              <a:lnTo>
                                <a:pt x="33604" y="52639"/>
                              </a:lnTo>
                              <a:lnTo>
                                <a:pt x="33604" y="64820"/>
                              </a:lnTo>
                              <a:lnTo>
                                <a:pt x="25438" y="66091"/>
                              </a:lnTo>
                              <a:cubicBezTo>
                                <a:pt x="21222" y="66091"/>
                                <a:pt x="17335" y="65951"/>
                                <a:pt x="14084" y="65125"/>
                              </a:cubicBezTo>
                              <a:lnTo>
                                <a:pt x="14084" y="108153"/>
                              </a:lnTo>
                              <a:lnTo>
                                <a:pt x="0" y="108153"/>
                              </a:lnTo>
                              <a:lnTo>
                                <a:pt x="0" y="2083"/>
                              </a:lnTo>
                              <a:cubicBezTo>
                                <a:pt x="6820" y="953"/>
                                <a:pt x="15723" y="0"/>
                                <a:pt x="2705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4" name="Shape 74"/>
                      <wps:cNvSpPr/>
                      <wps:spPr>
                        <a:xfrm>
                          <a:off x="469962" y="485893"/>
                          <a:ext cx="33617" cy="63984"/>
                        </a:xfrm>
                        <a:custGeom>
                          <a:avLst/>
                          <a:gdLst/>
                          <a:ahLst/>
                          <a:cxnLst/>
                          <a:rect l="0" t="0" r="0" b="0"/>
                          <a:pathLst>
                            <a:path w="33617" h="63984">
                              <a:moveTo>
                                <a:pt x="0" y="0"/>
                              </a:moveTo>
                              <a:lnTo>
                                <a:pt x="11546" y="1474"/>
                              </a:lnTo>
                              <a:cubicBezTo>
                                <a:pt x="16647" y="2986"/>
                                <a:pt x="20815" y="5215"/>
                                <a:pt x="24054" y="8079"/>
                              </a:cubicBezTo>
                              <a:cubicBezTo>
                                <a:pt x="30048" y="13184"/>
                                <a:pt x="33617" y="20982"/>
                                <a:pt x="33617" y="30545"/>
                              </a:cubicBezTo>
                              <a:cubicBezTo>
                                <a:pt x="33617" y="40248"/>
                                <a:pt x="30696" y="47893"/>
                                <a:pt x="25197" y="53469"/>
                              </a:cubicBezTo>
                              <a:cubicBezTo>
                                <a:pt x="21476" y="57374"/>
                                <a:pt x="16573" y="60320"/>
                                <a:pt x="10882" y="62291"/>
                              </a:cubicBezTo>
                              <a:lnTo>
                                <a:pt x="0" y="63984"/>
                              </a:lnTo>
                              <a:lnTo>
                                <a:pt x="0" y="51802"/>
                              </a:lnTo>
                              <a:lnTo>
                                <a:pt x="12213" y="48202"/>
                              </a:lnTo>
                              <a:cubicBezTo>
                                <a:pt x="16929" y="44318"/>
                                <a:pt x="19520" y="38584"/>
                                <a:pt x="19520" y="31180"/>
                              </a:cubicBezTo>
                              <a:cubicBezTo>
                                <a:pt x="19520" y="24087"/>
                                <a:pt x="16971" y="18830"/>
                                <a:pt x="12476" y="15345"/>
                              </a:cubicBezTo>
                              <a:lnTo>
                                <a:pt x="0" y="11881"/>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5" name="Shape 75"/>
                      <wps:cNvSpPr/>
                      <wps:spPr>
                        <a:xfrm>
                          <a:off x="512330" y="514489"/>
                          <a:ext cx="38227" cy="80464"/>
                        </a:xfrm>
                        <a:custGeom>
                          <a:avLst/>
                          <a:gdLst/>
                          <a:ahLst/>
                          <a:cxnLst/>
                          <a:rect l="0" t="0" r="0" b="0"/>
                          <a:pathLst>
                            <a:path w="38227" h="80464">
                              <a:moveTo>
                                <a:pt x="38227" y="0"/>
                              </a:moveTo>
                              <a:lnTo>
                                <a:pt x="38227" y="10462"/>
                              </a:lnTo>
                              <a:lnTo>
                                <a:pt x="27672" y="13004"/>
                              </a:lnTo>
                              <a:cubicBezTo>
                                <a:pt x="18521" y="17991"/>
                                <a:pt x="14427" y="29340"/>
                                <a:pt x="14427" y="40332"/>
                              </a:cubicBezTo>
                              <a:cubicBezTo>
                                <a:pt x="14427" y="57210"/>
                                <a:pt x="24295" y="69948"/>
                                <a:pt x="38227" y="69948"/>
                              </a:cubicBezTo>
                              <a:lnTo>
                                <a:pt x="38227" y="80355"/>
                              </a:lnTo>
                              <a:lnTo>
                                <a:pt x="37579" y="80464"/>
                              </a:lnTo>
                              <a:cubicBezTo>
                                <a:pt x="16358" y="80464"/>
                                <a:pt x="0" y="65186"/>
                                <a:pt x="0" y="40815"/>
                              </a:cubicBezTo>
                              <a:cubicBezTo>
                                <a:pt x="0" y="21469"/>
                                <a:pt x="9658" y="8117"/>
                                <a:pt x="23644" y="2650"/>
                              </a:cubicBezTo>
                              <a:lnTo>
                                <a:pt x="3822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6" name="Shape 76"/>
                      <wps:cNvSpPr/>
                      <wps:spPr>
                        <a:xfrm>
                          <a:off x="550558" y="514371"/>
                          <a:ext cx="38379" cy="80473"/>
                        </a:xfrm>
                        <a:custGeom>
                          <a:avLst/>
                          <a:gdLst/>
                          <a:ahLst/>
                          <a:cxnLst/>
                          <a:rect l="0" t="0" r="0" b="0"/>
                          <a:pathLst>
                            <a:path w="38379" h="80473">
                              <a:moveTo>
                                <a:pt x="648" y="0"/>
                              </a:moveTo>
                              <a:cubicBezTo>
                                <a:pt x="23165" y="0"/>
                                <a:pt x="38379" y="16091"/>
                                <a:pt x="38379" y="39650"/>
                              </a:cubicBezTo>
                              <a:cubicBezTo>
                                <a:pt x="38379" y="61042"/>
                                <a:pt x="27085" y="73371"/>
                                <a:pt x="13444" y="78198"/>
                              </a:cubicBezTo>
                              <a:lnTo>
                                <a:pt x="0" y="80473"/>
                              </a:lnTo>
                              <a:lnTo>
                                <a:pt x="0" y="70066"/>
                              </a:lnTo>
                              <a:cubicBezTo>
                                <a:pt x="13601" y="70066"/>
                                <a:pt x="23800" y="57493"/>
                                <a:pt x="23800" y="40119"/>
                              </a:cubicBezTo>
                              <a:cubicBezTo>
                                <a:pt x="23800" y="27063"/>
                                <a:pt x="17170" y="10503"/>
                                <a:pt x="317" y="10503"/>
                              </a:cubicBezTo>
                              <a:lnTo>
                                <a:pt x="0" y="10580"/>
                              </a:lnTo>
                              <a:lnTo>
                                <a:pt x="0" y="118"/>
                              </a:lnTo>
                              <a:lnTo>
                                <a:pt x="648"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8" name="Shape 38238"/>
                      <wps:cNvSpPr/>
                      <wps:spPr>
                        <a:xfrm>
                          <a:off x="606920" y="480121"/>
                          <a:ext cx="14250" cy="113094"/>
                        </a:xfrm>
                        <a:custGeom>
                          <a:avLst/>
                          <a:gdLst/>
                          <a:ahLst/>
                          <a:cxnLst/>
                          <a:rect l="0" t="0" r="0" b="0"/>
                          <a:pathLst>
                            <a:path w="14250" h="113094">
                              <a:moveTo>
                                <a:pt x="0" y="0"/>
                              </a:moveTo>
                              <a:lnTo>
                                <a:pt x="14250" y="0"/>
                              </a:lnTo>
                              <a:lnTo>
                                <a:pt x="14250" y="113094"/>
                              </a:lnTo>
                              <a:lnTo>
                                <a:pt x="0" y="113094"/>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38239" name="Shape 38239"/>
                      <wps:cNvSpPr/>
                      <wps:spPr>
                        <a:xfrm>
                          <a:off x="645147" y="516113"/>
                          <a:ext cx="14262" cy="77088"/>
                        </a:xfrm>
                        <a:custGeom>
                          <a:avLst/>
                          <a:gdLst/>
                          <a:ahLst/>
                          <a:cxnLst/>
                          <a:rect l="0" t="0" r="0" b="0"/>
                          <a:pathLst>
                            <a:path w="14262" h="77088">
                              <a:moveTo>
                                <a:pt x="0" y="0"/>
                              </a:moveTo>
                              <a:lnTo>
                                <a:pt x="14262" y="0"/>
                              </a:lnTo>
                              <a:lnTo>
                                <a:pt x="14262" y="77088"/>
                              </a:lnTo>
                              <a:lnTo>
                                <a:pt x="0" y="77088"/>
                              </a:lnTo>
                              <a:lnTo>
                                <a:pt x="0" y="0"/>
                              </a:lnTo>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79" name="Shape 79"/>
                      <wps:cNvSpPr/>
                      <wps:spPr>
                        <a:xfrm>
                          <a:off x="643356" y="485684"/>
                          <a:ext cx="17818" cy="17361"/>
                        </a:xfrm>
                        <a:custGeom>
                          <a:avLst/>
                          <a:gdLst/>
                          <a:ahLst/>
                          <a:cxnLst/>
                          <a:rect l="0" t="0" r="0" b="0"/>
                          <a:pathLst>
                            <a:path w="17818" h="17361">
                              <a:moveTo>
                                <a:pt x="8915" y="0"/>
                              </a:moveTo>
                              <a:cubicBezTo>
                                <a:pt x="14275" y="0"/>
                                <a:pt x="17666" y="3811"/>
                                <a:pt x="17666" y="8764"/>
                              </a:cubicBezTo>
                              <a:cubicBezTo>
                                <a:pt x="17818" y="13551"/>
                                <a:pt x="14275" y="17361"/>
                                <a:pt x="8598" y="17361"/>
                              </a:cubicBezTo>
                              <a:cubicBezTo>
                                <a:pt x="3569" y="17361"/>
                                <a:pt x="0" y="13551"/>
                                <a:pt x="0" y="8764"/>
                              </a:cubicBezTo>
                              <a:cubicBezTo>
                                <a:pt x="0" y="3811"/>
                                <a:pt x="3734" y="0"/>
                                <a:pt x="8915"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0" name="Shape 80"/>
                      <wps:cNvSpPr/>
                      <wps:spPr>
                        <a:xfrm>
                          <a:off x="677376" y="514517"/>
                          <a:ext cx="61875" cy="80442"/>
                        </a:xfrm>
                        <a:custGeom>
                          <a:avLst/>
                          <a:gdLst/>
                          <a:ahLst/>
                          <a:cxnLst/>
                          <a:rect l="0" t="0" r="0" b="0"/>
                          <a:pathLst>
                            <a:path w="61875" h="80442">
                              <a:moveTo>
                                <a:pt x="42126" y="0"/>
                              </a:moveTo>
                              <a:cubicBezTo>
                                <a:pt x="50533" y="0"/>
                                <a:pt x="57988" y="2070"/>
                                <a:pt x="61875" y="3988"/>
                              </a:cubicBezTo>
                              <a:lnTo>
                                <a:pt x="58636" y="14808"/>
                              </a:lnTo>
                              <a:cubicBezTo>
                                <a:pt x="55232" y="12904"/>
                                <a:pt x="49898" y="11151"/>
                                <a:pt x="42126" y="11151"/>
                              </a:cubicBezTo>
                              <a:cubicBezTo>
                                <a:pt x="24143" y="11151"/>
                                <a:pt x="14415" y="24219"/>
                                <a:pt x="14415" y="40298"/>
                              </a:cubicBezTo>
                              <a:cubicBezTo>
                                <a:pt x="14415" y="58116"/>
                                <a:pt x="26073" y="69127"/>
                                <a:pt x="41630" y="69127"/>
                              </a:cubicBezTo>
                              <a:cubicBezTo>
                                <a:pt x="49733" y="69127"/>
                                <a:pt x="55080" y="67069"/>
                                <a:pt x="59118" y="65304"/>
                              </a:cubicBezTo>
                              <a:lnTo>
                                <a:pt x="61557" y="75819"/>
                              </a:lnTo>
                              <a:cubicBezTo>
                                <a:pt x="57810" y="77737"/>
                                <a:pt x="49556" y="80442"/>
                                <a:pt x="39040" y="80442"/>
                              </a:cubicBezTo>
                              <a:cubicBezTo>
                                <a:pt x="15392" y="80442"/>
                                <a:pt x="0" y="64504"/>
                                <a:pt x="0" y="40945"/>
                              </a:cubicBezTo>
                              <a:cubicBezTo>
                                <a:pt x="0" y="17209"/>
                                <a:pt x="16523" y="0"/>
                                <a:pt x="42126"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1" name="Shape 81"/>
                      <wps:cNvSpPr/>
                      <wps:spPr>
                        <a:xfrm>
                          <a:off x="748161" y="516117"/>
                          <a:ext cx="73698" cy="112293"/>
                        </a:xfrm>
                        <a:custGeom>
                          <a:avLst/>
                          <a:gdLst/>
                          <a:ahLst/>
                          <a:cxnLst/>
                          <a:rect l="0" t="0" r="0" b="0"/>
                          <a:pathLst>
                            <a:path w="73698" h="112293">
                              <a:moveTo>
                                <a:pt x="0" y="0"/>
                              </a:moveTo>
                              <a:lnTo>
                                <a:pt x="15558" y="0"/>
                              </a:lnTo>
                              <a:lnTo>
                                <a:pt x="32715" y="45568"/>
                              </a:lnTo>
                              <a:cubicBezTo>
                                <a:pt x="34506" y="50635"/>
                                <a:pt x="36436" y="56693"/>
                                <a:pt x="37732" y="61316"/>
                              </a:cubicBezTo>
                              <a:lnTo>
                                <a:pt x="38062" y="61316"/>
                              </a:lnTo>
                              <a:cubicBezTo>
                                <a:pt x="39510" y="56693"/>
                                <a:pt x="41135" y="50812"/>
                                <a:pt x="43078" y="45224"/>
                              </a:cubicBezTo>
                              <a:lnTo>
                                <a:pt x="58636" y="0"/>
                              </a:lnTo>
                              <a:lnTo>
                                <a:pt x="73698" y="0"/>
                              </a:lnTo>
                              <a:lnTo>
                                <a:pt x="52324" y="54953"/>
                              </a:lnTo>
                              <a:cubicBezTo>
                                <a:pt x="42126" y="81394"/>
                                <a:pt x="35154" y="94920"/>
                                <a:pt x="25426" y="103213"/>
                              </a:cubicBezTo>
                              <a:cubicBezTo>
                                <a:pt x="18466" y="109258"/>
                                <a:pt x="11506" y="111658"/>
                                <a:pt x="7925" y="112293"/>
                              </a:cubicBezTo>
                              <a:lnTo>
                                <a:pt x="4369" y="100508"/>
                              </a:lnTo>
                              <a:cubicBezTo>
                                <a:pt x="7925" y="99364"/>
                                <a:pt x="12624" y="97155"/>
                                <a:pt x="16840" y="93650"/>
                              </a:cubicBezTo>
                              <a:cubicBezTo>
                                <a:pt x="20726" y="90627"/>
                                <a:pt x="25591" y="85217"/>
                                <a:pt x="28829" y="78029"/>
                              </a:cubicBezTo>
                              <a:cubicBezTo>
                                <a:pt x="29489" y="76619"/>
                                <a:pt x="29959" y="75514"/>
                                <a:pt x="29959" y="74702"/>
                              </a:cubicBezTo>
                              <a:cubicBezTo>
                                <a:pt x="29959" y="73914"/>
                                <a:pt x="29642" y="72784"/>
                                <a:pt x="28994" y="71018"/>
                              </a:cubicBez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2" name="Shape 82"/>
                      <wps:cNvSpPr/>
                      <wps:spPr>
                        <a:xfrm>
                          <a:off x="869639" y="485056"/>
                          <a:ext cx="33611" cy="108153"/>
                        </a:xfrm>
                        <a:custGeom>
                          <a:avLst/>
                          <a:gdLst/>
                          <a:ahLst/>
                          <a:cxnLst/>
                          <a:rect l="0" t="0" r="0" b="0"/>
                          <a:pathLst>
                            <a:path w="33611" h="108153">
                              <a:moveTo>
                                <a:pt x="27064" y="0"/>
                              </a:moveTo>
                              <a:lnTo>
                                <a:pt x="33611" y="729"/>
                              </a:lnTo>
                              <a:lnTo>
                                <a:pt x="33611" y="12185"/>
                              </a:lnTo>
                              <a:lnTo>
                                <a:pt x="28016" y="10681"/>
                              </a:lnTo>
                              <a:cubicBezTo>
                                <a:pt x="21209" y="10681"/>
                                <a:pt x="16358" y="11303"/>
                                <a:pt x="14097" y="11938"/>
                              </a:cubicBezTo>
                              <a:lnTo>
                                <a:pt x="14097" y="51130"/>
                              </a:lnTo>
                              <a:lnTo>
                                <a:pt x="28511" y="51130"/>
                              </a:lnTo>
                              <a:lnTo>
                                <a:pt x="33611" y="49540"/>
                              </a:lnTo>
                              <a:lnTo>
                                <a:pt x="33611" y="63806"/>
                              </a:lnTo>
                              <a:lnTo>
                                <a:pt x="27368" y="61633"/>
                              </a:lnTo>
                              <a:lnTo>
                                <a:pt x="14097" y="61633"/>
                              </a:lnTo>
                              <a:lnTo>
                                <a:pt x="14097" y="108153"/>
                              </a:lnTo>
                              <a:lnTo>
                                <a:pt x="0" y="108153"/>
                              </a:lnTo>
                              <a:lnTo>
                                <a:pt x="0" y="2222"/>
                              </a:lnTo>
                              <a:cubicBezTo>
                                <a:pt x="7125" y="788"/>
                                <a:pt x="17335" y="0"/>
                                <a:pt x="27064"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3" name="Shape 83"/>
                      <wps:cNvSpPr/>
                      <wps:spPr>
                        <a:xfrm>
                          <a:off x="903250" y="485786"/>
                          <a:ext cx="37497" cy="107424"/>
                        </a:xfrm>
                        <a:custGeom>
                          <a:avLst/>
                          <a:gdLst/>
                          <a:ahLst/>
                          <a:cxnLst/>
                          <a:rect l="0" t="0" r="0" b="0"/>
                          <a:pathLst>
                            <a:path w="37497" h="107424">
                              <a:moveTo>
                                <a:pt x="0" y="0"/>
                              </a:moveTo>
                              <a:lnTo>
                                <a:pt x="12328" y="1374"/>
                              </a:lnTo>
                              <a:cubicBezTo>
                                <a:pt x="17488" y="2804"/>
                                <a:pt x="21615" y="4992"/>
                                <a:pt x="25012" y="8020"/>
                              </a:cubicBezTo>
                              <a:cubicBezTo>
                                <a:pt x="30537" y="12796"/>
                                <a:pt x="33610" y="20137"/>
                                <a:pt x="33610" y="28404"/>
                              </a:cubicBezTo>
                              <a:cubicBezTo>
                                <a:pt x="33610" y="42603"/>
                                <a:pt x="24530" y="51988"/>
                                <a:pt x="13036" y="55798"/>
                              </a:cubicBezTo>
                              <a:lnTo>
                                <a:pt x="13036" y="56293"/>
                              </a:lnTo>
                              <a:cubicBezTo>
                                <a:pt x="21456" y="59164"/>
                                <a:pt x="26498" y="66797"/>
                                <a:pt x="29064" y="77960"/>
                              </a:cubicBezTo>
                              <a:cubicBezTo>
                                <a:pt x="32645" y="92920"/>
                                <a:pt x="35223" y="103270"/>
                                <a:pt x="37497" y="107424"/>
                              </a:cubicBezTo>
                              <a:lnTo>
                                <a:pt x="22917" y="107424"/>
                              </a:lnTo>
                              <a:cubicBezTo>
                                <a:pt x="21126" y="104236"/>
                                <a:pt x="18700" y="95168"/>
                                <a:pt x="15627" y="81769"/>
                              </a:cubicBezTo>
                              <a:cubicBezTo>
                                <a:pt x="14008" y="74359"/>
                                <a:pt x="11741" y="69263"/>
                                <a:pt x="8279" y="65960"/>
                              </a:cubicBezTo>
                              <a:lnTo>
                                <a:pt x="0" y="63077"/>
                              </a:lnTo>
                              <a:lnTo>
                                <a:pt x="0" y="48811"/>
                              </a:lnTo>
                              <a:lnTo>
                                <a:pt x="12855" y="44802"/>
                              </a:lnTo>
                              <a:cubicBezTo>
                                <a:pt x="17126" y="41235"/>
                                <a:pt x="19514" y="36133"/>
                                <a:pt x="19514" y="29992"/>
                              </a:cubicBezTo>
                              <a:cubicBezTo>
                                <a:pt x="19514" y="23070"/>
                                <a:pt x="16967" y="18095"/>
                                <a:pt x="12555" y="14832"/>
                              </a:cubicBezTo>
                              <a:lnTo>
                                <a:pt x="0" y="11456"/>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4" name="Shape 84"/>
                      <wps:cNvSpPr/>
                      <wps:spPr>
                        <a:xfrm>
                          <a:off x="951277" y="514831"/>
                          <a:ext cx="34585" cy="79431"/>
                        </a:xfrm>
                        <a:custGeom>
                          <a:avLst/>
                          <a:gdLst/>
                          <a:ahLst/>
                          <a:cxnLst/>
                          <a:rect l="0" t="0" r="0" b="0"/>
                          <a:pathLst>
                            <a:path w="34585" h="79431">
                              <a:moveTo>
                                <a:pt x="34585" y="0"/>
                              </a:moveTo>
                              <a:lnTo>
                                <a:pt x="34585" y="9808"/>
                              </a:lnTo>
                              <a:lnTo>
                                <a:pt x="26299" y="11754"/>
                              </a:lnTo>
                              <a:cubicBezTo>
                                <a:pt x="18389" y="15885"/>
                                <a:pt x="14624" y="25057"/>
                                <a:pt x="13767" y="32345"/>
                              </a:cubicBezTo>
                              <a:lnTo>
                                <a:pt x="34585" y="32345"/>
                              </a:lnTo>
                              <a:lnTo>
                                <a:pt x="34585" y="42377"/>
                              </a:lnTo>
                              <a:lnTo>
                                <a:pt x="13601" y="42377"/>
                              </a:lnTo>
                              <a:cubicBezTo>
                                <a:pt x="13767" y="51857"/>
                                <a:pt x="16926" y="58544"/>
                                <a:pt x="21826" y="62861"/>
                              </a:cubicBezTo>
                              <a:lnTo>
                                <a:pt x="34585" y="67140"/>
                              </a:lnTo>
                              <a:lnTo>
                                <a:pt x="34585" y="79431"/>
                              </a:lnTo>
                              <a:lnTo>
                                <a:pt x="22342" y="77295"/>
                              </a:lnTo>
                              <a:cubicBezTo>
                                <a:pt x="8108" y="71773"/>
                                <a:pt x="0" y="58548"/>
                                <a:pt x="0" y="41108"/>
                              </a:cubicBezTo>
                              <a:cubicBezTo>
                                <a:pt x="0" y="23667"/>
                                <a:pt x="7837" y="9006"/>
                                <a:pt x="21394" y="2765"/>
                              </a:cubicBezTo>
                              <a:lnTo>
                                <a:pt x="3458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5" name="Shape 85"/>
                      <wps:cNvSpPr/>
                      <wps:spPr>
                        <a:xfrm>
                          <a:off x="985862" y="579979"/>
                          <a:ext cx="30033" cy="14974"/>
                        </a:xfrm>
                        <a:custGeom>
                          <a:avLst/>
                          <a:gdLst/>
                          <a:ahLst/>
                          <a:cxnLst/>
                          <a:rect l="0" t="0" r="0" b="0"/>
                          <a:pathLst>
                            <a:path w="30033" h="14974">
                              <a:moveTo>
                                <a:pt x="27620" y="0"/>
                              </a:moveTo>
                              <a:lnTo>
                                <a:pt x="30033" y="10046"/>
                              </a:lnTo>
                              <a:cubicBezTo>
                                <a:pt x="25016" y="12281"/>
                                <a:pt x="16431" y="14974"/>
                                <a:pt x="3960" y="14974"/>
                              </a:cubicBezTo>
                              <a:lnTo>
                                <a:pt x="0" y="14283"/>
                              </a:lnTo>
                              <a:lnTo>
                                <a:pt x="0" y="1992"/>
                              </a:lnTo>
                              <a:lnTo>
                                <a:pt x="5916" y="3976"/>
                              </a:lnTo>
                              <a:cubicBezTo>
                                <a:pt x="16114" y="3976"/>
                                <a:pt x="22273" y="2236"/>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6" name="Shape 86"/>
                      <wps:cNvSpPr/>
                      <wps:spPr>
                        <a:xfrm>
                          <a:off x="985862" y="514371"/>
                          <a:ext cx="34579" cy="42837"/>
                        </a:xfrm>
                        <a:custGeom>
                          <a:avLst/>
                          <a:gdLst/>
                          <a:ahLst/>
                          <a:cxnLst/>
                          <a:rect l="0" t="0" r="0" b="0"/>
                          <a:pathLst>
                            <a:path w="34579" h="42837">
                              <a:moveTo>
                                <a:pt x="2194" y="0"/>
                              </a:moveTo>
                              <a:cubicBezTo>
                                <a:pt x="27785" y="0"/>
                                <a:pt x="34579" y="22136"/>
                                <a:pt x="34579" y="36296"/>
                              </a:cubicBezTo>
                              <a:cubicBezTo>
                                <a:pt x="34579" y="39167"/>
                                <a:pt x="34249" y="41415"/>
                                <a:pt x="34097" y="42837"/>
                              </a:cubicBezTo>
                              <a:lnTo>
                                <a:pt x="0" y="42837"/>
                              </a:lnTo>
                              <a:lnTo>
                                <a:pt x="0" y="32804"/>
                              </a:lnTo>
                              <a:lnTo>
                                <a:pt x="20813" y="32804"/>
                              </a:lnTo>
                              <a:cubicBezTo>
                                <a:pt x="20978" y="23888"/>
                                <a:pt x="17079" y="10020"/>
                                <a:pt x="1051" y="10020"/>
                              </a:cubicBezTo>
                              <a:lnTo>
                                <a:pt x="0" y="10268"/>
                              </a:lnTo>
                              <a:lnTo>
                                <a:pt x="0" y="460"/>
                              </a:lnTo>
                              <a:lnTo>
                                <a:pt x="219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7" name="Shape 87"/>
                      <wps:cNvSpPr/>
                      <wps:spPr>
                        <a:xfrm>
                          <a:off x="1032580" y="514373"/>
                          <a:ext cx="51346" cy="80582"/>
                        </a:xfrm>
                        <a:custGeom>
                          <a:avLst/>
                          <a:gdLst/>
                          <a:ahLst/>
                          <a:cxnLst/>
                          <a:rect l="0" t="0" r="0" b="0"/>
                          <a:pathLst>
                            <a:path w="51346" h="80582">
                              <a:moveTo>
                                <a:pt x="29324" y="0"/>
                              </a:moveTo>
                              <a:cubicBezTo>
                                <a:pt x="37262" y="0"/>
                                <a:pt x="44221" y="2210"/>
                                <a:pt x="48590" y="4763"/>
                              </a:cubicBezTo>
                              <a:lnTo>
                                <a:pt x="45034" y="14960"/>
                              </a:lnTo>
                              <a:cubicBezTo>
                                <a:pt x="41961" y="13056"/>
                                <a:pt x="36284" y="10503"/>
                                <a:pt x="28994" y="10503"/>
                              </a:cubicBezTo>
                              <a:cubicBezTo>
                                <a:pt x="20561" y="10503"/>
                                <a:pt x="15875" y="15278"/>
                                <a:pt x="15875" y="21019"/>
                              </a:cubicBezTo>
                              <a:cubicBezTo>
                                <a:pt x="15875" y="27394"/>
                                <a:pt x="20561" y="30252"/>
                                <a:pt x="30772" y="34074"/>
                              </a:cubicBezTo>
                              <a:cubicBezTo>
                                <a:pt x="44386" y="39167"/>
                                <a:pt x="51346" y="45860"/>
                                <a:pt x="51346" y="57328"/>
                              </a:cubicBezTo>
                              <a:cubicBezTo>
                                <a:pt x="51346" y="70879"/>
                                <a:pt x="40653" y="80582"/>
                                <a:pt x="22047" y="80582"/>
                              </a:cubicBezTo>
                              <a:cubicBezTo>
                                <a:pt x="13449" y="80582"/>
                                <a:pt x="5512" y="78372"/>
                                <a:pt x="0" y="75171"/>
                              </a:cubicBezTo>
                              <a:lnTo>
                                <a:pt x="3569" y="64503"/>
                              </a:lnTo>
                              <a:cubicBezTo>
                                <a:pt x="7772" y="67208"/>
                                <a:pt x="15227" y="70066"/>
                                <a:pt x="22352" y="70066"/>
                              </a:cubicBezTo>
                              <a:cubicBezTo>
                                <a:pt x="32728" y="70066"/>
                                <a:pt x="37567" y="64974"/>
                                <a:pt x="37567" y="58598"/>
                              </a:cubicBezTo>
                              <a:cubicBezTo>
                                <a:pt x="37567" y="51918"/>
                                <a:pt x="33528" y="48247"/>
                                <a:pt x="23000" y="44438"/>
                              </a:cubicBezTo>
                              <a:cubicBezTo>
                                <a:pt x="8915" y="39497"/>
                                <a:pt x="2273" y="31839"/>
                                <a:pt x="2273" y="22606"/>
                              </a:cubicBezTo>
                              <a:cubicBezTo>
                                <a:pt x="2273" y="10185"/>
                                <a:pt x="12484" y="0"/>
                                <a:pt x="29324"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8" name="Shape 88"/>
                      <wps:cNvSpPr/>
                      <wps:spPr>
                        <a:xfrm>
                          <a:off x="1096570" y="514828"/>
                          <a:ext cx="34584" cy="79433"/>
                        </a:xfrm>
                        <a:custGeom>
                          <a:avLst/>
                          <a:gdLst/>
                          <a:ahLst/>
                          <a:cxnLst/>
                          <a:rect l="0" t="0" r="0" b="0"/>
                          <a:pathLst>
                            <a:path w="34584" h="79433">
                              <a:moveTo>
                                <a:pt x="34584" y="0"/>
                              </a:moveTo>
                              <a:lnTo>
                                <a:pt x="34584" y="9810"/>
                              </a:lnTo>
                              <a:lnTo>
                                <a:pt x="26293" y="11757"/>
                              </a:lnTo>
                              <a:cubicBezTo>
                                <a:pt x="18382" y="15887"/>
                                <a:pt x="14624" y="25060"/>
                                <a:pt x="13767" y="32347"/>
                              </a:cubicBezTo>
                              <a:lnTo>
                                <a:pt x="34584" y="32347"/>
                              </a:lnTo>
                              <a:lnTo>
                                <a:pt x="34584" y="42380"/>
                              </a:lnTo>
                              <a:lnTo>
                                <a:pt x="13602" y="42380"/>
                              </a:lnTo>
                              <a:cubicBezTo>
                                <a:pt x="13761" y="51860"/>
                                <a:pt x="16916" y="58547"/>
                                <a:pt x="21815" y="62863"/>
                              </a:cubicBezTo>
                              <a:lnTo>
                                <a:pt x="34584" y="67146"/>
                              </a:lnTo>
                              <a:lnTo>
                                <a:pt x="34584" y="79433"/>
                              </a:lnTo>
                              <a:lnTo>
                                <a:pt x="22342" y="77298"/>
                              </a:lnTo>
                              <a:cubicBezTo>
                                <a:pt x="8108" y="71775"/>
                                <a:pt x="0" y="58550"/>
                                <a:pt x="0" y="41110"/>
                              </a:cubicBezTo>
                              <a:cubicBezTo>
                                <a:pt x="0" y="23669"/>
                                <a:pt x="7830" y="9008"/>
                                <a:pt x="21383" y="2767"/>
                              </a:cubicBezTo>
                              <a:lnTo>
                                <a:pt x="3458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89" name="Shape 89"/>
                      <wps:cNvSpPr/>
                      <wps:spPr>
                        <a:xfrm>
                          <a:off x="1131154" y="579979"/>
                          <a:ext cx="30033" cy="14974"/>
                        </a:xfrm>
                        <a:custGeom>
                          <a:avLst/>
                          <a:gdLst/>
                          <a:ahLst/>
                          <a:cxnLst/>
                          <a:rect l="0" t="0" r="0" b="0"/>
                          <a:pathLst>
                            <a:path w="30033" h="14974">
                              <a:moveTo>
                                <a:pt x="27620" y="0"/>
                              </a:moveTo>
                              <a:lnTo>
                                <a:pt x="30033" y="10046"/>
                              </a:lnTo>
                              <a:cubicBezTo>
                                <a:pt x="25004" y="12281"/>
                                <a:pt x="16432" y="14974"/>
                                <a:pt x="3960" y="14974"/>
                              </a:cubicBezTo>
                              <a:lnTo>
                                <a:pt x="0" y="14283"/>
                              </a:lnTo>
                              <a:lnTo>
                                <a:pt x="0" y="1996"/>
                              </a:lnTo>
                              <a:lnTo>
                                <a:pt x="5904" y="3976"/>
                              </a:lnTo>
                              <a:cubicBezTo>
                                <a:pt x="16114" y="3976"/>
                                <a:pt x="22248" y="2236"/>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0" name="Shape 90"/>
                      <wps:cNvSpPr/>
                      <wps:spPr>
                        <a:xfrm>
                          <a:off x="1131154" y="514371"/>
                          <a:ext cx="34567" cy="42837"/>
                        </a:xfrm>
                        <a:custGeom>
                          <a:avLst/>
                          <a:gdLst/>
                          <a:ahLst/>
                          <a:cxnLst/>
                          <a:rect l="0" t="0" r="0" b="0"/>
                          <a:pathLst>
                            <a:path w="34567" h="42837">
                              <a:moveTo>
                                <a:pt x="2182" y="0"/>
                              </a:moveTo>
                              <a:cubicBezTo>
                                <a:pt x="27773" y="0"/>
                                <a:pt x="34567" y="22136"/>
                                <a:pt x="34567" y="36296"/>
                              </a:cubicBezTo>
                              <a:cubicBezTo>
                                <a:pt x="34567" y="39167"/>
                                <a:pt x="34250" y="41415"/>
                                <a:pt x="34085" y="42837"/>
                              </a:cubicBezTo>
                              <a:lnTo>
                                <a:pt x="0" y="42837"/>
                              </a:lnTo>
                              <a:lnTo>
                                <a:pt x="0" y="32804"/>
                              </a:lnTo>
                              <a:lnTo>
                                <a:pt x="20813" y="32804"/>
                              </a:lnTo>
                              <a:cubicBezTo>
                                <a:pt x="20966" y="23888"/>
                                <a:pt x="17080" y="10020"/>
                                <a:pt x="1052" y="10020"/>
                              </a:cubicBezTo>
                              <a:lnTo>
                                <a:pt x="0" y="10268"/>
                              </a:lnTo>
                              <a:lnTo>
                                <a:pt x="0" y="457"/>
                              </a:lnTo>
                              <a:lnTo>
                                <a:pt x="2182"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1" name="Shape 91"/>
                      <wps:cNvSpPr/>
                      <wps:spPr>
                        <a:xfrm>
                          <a:off x="1177233" y="545591"/>
                          <a:ext cx="30861" cy="49370"/>
                        </a:xfrm>
                        <a:custGeom>
                          <a:avLst/>
                          <a:gdLst/>
                          <a:ahLst/>
                          <a:cxnLst/>
                          <a:rect l="0" t="0" r="0" b="0"/>
                          <a:pathLst>
                            <a:path w="30861" h="49370">
                              <a:moveTo>
                                <a:pt x="30861" y="0"/>
                              </a:moveTo>
                              <a:lnTo>
                                <a:pt x="30861" y="10457"/>
                              </a:lnTo>
                              <a:lnTo>
                                <a:pt x="25032" y="11224"/>
                              </a:lnTo>
                              <a:cubicBezTo>
                                <a:pt x="18675" y="13734"/>
                                <a:pt x="14262" y="18153"/>
                                <a:pt x="14262" y="25634"/>
                              </a:cubicBezTo>
                              <a:cubicBezTo>
                                <a:pt x="14262" y="34714"/>
                                <a:pt x="20409" y="39019"/>
                                <a:pt x="27699" y="39019"/>
                              </a:cubicBezTo>
                              <a:lnTo>
                                <a:pt x="30861" y="38002"/>
                              </a:lnTo>
                              <a:lnTo>
                                <a:pt x="30861" y="47726"/>
                              </a:lnTo>
                              <a:lnTo>
                                <a:pt x="23965" y="49370"/>
                              </a:lnTo>
                              <a:cubicBezTo>
                                <a:pt x="8090" y="49370"/>
                                <a:pt x="0" y="38359"/>
                                <a:pt x="0" y="27222"/>
                              </a:cubicBezTo>
                              <a:cubicBezTo>
                                <a:pt x="0" y="13248"/>
                                <a:pt x="9472" y="4025"/>
                                <a:pt x="26988" y="346"/>
                              </a:cubicBezTo>
                              <a:lnTo>
                                <a:pt x="30861"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2" name="Shape 92"/>
                      <wps:cNvSpPr/>
                      <wps:spPr>
                        <a:xfrm>
                          <a:off x="1182897" y="514515"/>
                          <a:ext cx="25197" cy="15942"/>
                        </a:xfrm>
                        <a:custGeom>
                          <a:avLst/>
                          <a:gdLst/>
                          <a:ahLst/>
                          <a:cxnLst/>
                          <a:rect l="0" t="0" r="0" b="0"/>
                          <a:pathLst>
                            <a:path w="25197" h="15942">
                              <a:moveTo>
                                <a:pt x="25197" y="0"/>
                              </a:moveTo>
                              <a:lnTo>
                                <a:pt x="25197" y="10522"/>
                              </a:lnTo>
                              <a:lnTo>
                                <a:pt x="23647" y="10215"/>
                              </a:lnTo>
                              <a:cubicBezTo>
                                <a:pt x="16358" y="10215"/>
                                <a:pt x="8738" y="12425"/>
                                <a:pt x="3252" y="15942"/>
                              </a:cubicBezTo>
                              <a:lnTo>
                                <a:pt x="0" y="6684"/>
                              </a:lnTo>
                              <a:lnTo>
                                <a:pt x="25197"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3" name="Shape 93"/>
                      <wps:cNvSpPr/>
                      <wps:spPr>
                        <a:xfrm>
                          <a:off x="1208094" y="514367"/>
                          <a:ext cx="31648" cy="78949"/>
                        </a:xfrm>
                        <a:custGeom>
                          <a:avLst/>
                          <a:gdLst/>
                          <a:ahLst/>
                          <a:cxnLst/>
                          <a:rect l="0" t="0" r="0" b="0"/>
                          <a:pathLst>
                            <a:path w="31648" h="78949">
                              <a:moveTo>
                                <a:pt x="559" y="0"/>
                              </a:moveTo>
                              <a:cubicBezTo>
                                <a:pt x="24524" y="0"/>
                                <a:pt x="30353" y="16090"/>
                                <a:pt x="30353" y="31534"/>
                              </a:cubicBezTo>
                              <a:lnTo>
                                <a:pt x="30353" y="60363"/>
                              </a:lnTo>
                              <a:cubicBezTo>
                                <a:pt x="30353" y="67056"/>
                                <a:pt x="30696" y="73596"/>
                                <a:pt x="31648" y="78841"/>
                              </a:cubicBezTo>
                              <a:lnTo>
                                <a:pt x="18694" y="78841"/>
                              </a:lnTo>
                              <a:lnTo>
                                <a:pt x="17564" y="69126"/>
                              </a:lnTo>
                              <a:lnTo>
                                <a:pt x="17069" y="69126"/>
                              </a:lnTo>
                              <a:cubicBezTo>
                                <a:pt x="14891" y="72148"/>
                                <a:pt x="11694" y="75016"/>
                                <a:pt x="7644" y="77126"/>
                              </a:cubicBezTo>
                              <a:lnTo>
                                <a:pt x="0" y="78949"/>
                              </a:lnTo>
                              <a:lnTo>
                                <a:pt x="0" y="69225"/>
                              </a:lnTo>
                              <a:lnTo>
                                <a:pt x="9278" y="66238"/>
                              </a:lnTo>
                              <a:cubicBezTo>
                                <a:pt x="12453" y="63827"/>
                                <a:pt x="14637" y="60598"/>
                                <a:pt x="15773" y="57328"/>
                              </a:cubicBezTo>
                              <a:cubicBezTo>
                                <a:pt x="16269" y="55905"/>
                                <a:pt x="16599" y="54305"/>
                                <a:pt x="16599" y="52870"/>
                              </a:cubicBezTo>
                              <a:lnTo>
                                <a:pt x="16599" y="39497"/>
                              </a:lnTo>
                              <a:lnTo>
                                <a:pt x="0" y="41680"/>
                              </a:lnTo>
                              <a:lnTo>
                                <a:pt x="0" y="31224"/>
                              </a:lnTo>
                              <a:lnTo>
                                <a:pt x="16269" y="29769"/>
                              </a:lnTo>
                              <a:lnTo>
                                <a:pt x="16269" y="28181"/>
                              </a:lnTo>
                              <a:cubicBezTo>
                                <a:pt x="16269" y="23419"/>
                                <a:pt x="15269" y="15777"/>
                                <a:pt x="8002" y="12254"/>
                              </a:cubicBezTo>
                              <a:lnTo>
                                <a:pt x="0" y="10670"/>
                              </a:lnTo>
                              <a:lnTo>
                                <a:pt x="0" y="148"/>
                              </a:lnTo>
                              <a:lnTo>
                                <a:pt x="559"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4" name="Shape 94"/>
                      <wps:cNvSpPr/>
                      <wps:spPr>
                        <a:xfrm>
                          <a:off x="1260811" y="514368"/>
                          <a:ext cx="39357" cy="78842"/>
                        </a:xfrm>
                        <a:custGeom>
                          <a:avLst/>
                          <a:gdLst/>
                          <a:ahLst/>
                          <a:cxnLst/>
                          <a:rect l="0" t="0" r="0" b="0"/>
                          <a:pathLst>
                            <a:path w="39357" h="78842">
                              <a:moveTo>
                                <a:pt x="35306" y="0"/>
                              </a:moveTo>
                              <a:cubicBezTo>
                                <a:pt x="36932" y="0"/>
                                <a:pt x="38075" y="153"/>
                                <a:pt x="39357" y="470"/>
                              </a:cubicBezTo>
                              <a:lnTo>
                                <a:pt x="39357" y="13691"/>
                              </a:lnTo>
                              <a:cubicBezTo>
                                <a:pt x="37897" y="13374"/>
                                <a:pt x="36437" y="13221"/>
                                <a:pt x="34493" y="13221"/>
                              </a:cubicBezTo>
                              <a:cubicBezTo>
                                <a:pt x="24448" y="13221"/>
                                <a:pt x="17323" y="20675"/>
                                <a:pt x="15393" y="31204"/>
                              </a:cubicBezTo>
                              <a:cubicBezTo>
                                <a:pt x="15063" y="33122"/>
                                <a:pt x="14732" y="35357"/>
                                <a:pt x="14732" y="37744"/>
                              </a:cubicBezTo>
                              <a:lnTo>
                                <a:pt x="14732" y="78842"/>
                              </a:lnTo>
                              <a:lnTo>
                                <a:pt x="648" y="78842"/>
                              </a:lnTo>
                              <a:lnTo>
                                <a:pt x="648" y="25794"/>
                              </a:lnTo>
                              <a:cubicBezTo>
                                <a:pt x="648" y="16726"/>
                                <a:pt x="483" y="8903"/>
                                <a:pt x="0" y="1753"/>
                              </a:cubicBezTo>
                              <a:lnTo>
                                <a:pt x="12472" y="1753"/>
                              </a:lnTo>
                              <a:lnTo>
                                <a:pt x="12954" y="16878"/>
                              </a:lnTo>
                              <a:lnTo>
                                <a:pt x="13602" y="16878"/>
                              </a:lnTo>
                              <a:cubicBezTo>
                                <a:pt x="17171" y="6528"/>
                                <a:pt x="25756" y="0"/>
                                <a:pt x="35306"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5" name="Shape 95"/>
                      <wps:cNvSpPr/>
                      <wps:spPr>
                        <a:xfrm>
                          <a:off x="1307137" y="514517"/>
                          <a:ext cx="61862" cy="80442"/>
                        </a:xfrm>
                        <a:custGeom>
                          <a:avLst/>
                          <a:gdLst/>
                          <a:ahLst/>
                          <a:cxnLst/>
                          <a:rect l="0" t="0" r="0" b="0"/>
                          <a:pathLst>
                            <a:path w="61862" h="80442">
                              <a:moveTo>
                                <a:pt x="42101" y="0"/>
                              </a:moveTo>
                              <a:cubicBezTo>
                                <a:pt x="50533" y="0"/>
                                <a:pt x="57976" y="2070"/>
                                <a:pt x="61862" y="3988"/>
                              </a:cubicBezTo>
                              <a:lnTo>
                                <a:pt x="58624" y="14808"/>
                              </a:lnTo>
                              <a:cubicBezTo>
                                <a:pt x="55232" y="12904"/>
                                <a:pt x="49873" y="11151"/>
                                <a:pt x="42101" y="11151"/>
                              </a:cubicBezTo>
                              <a:cubicBezTo>
                                <a:pt x="24130" y="11151"/>
                                <a:pt x="14415" y="24219"/>
                                <a:pt x="14415" y="40298"/>
                              </a:cubicBezTo>
                              <a:cubicBezTo>
                                <a:pt x="14415" y="58116"/>
                                <a:pt x="26074" y="69127"/>
                                <a:pt x="41618" y="69127"/>
                              </a:cubicBezTo>
                              <a:cubicBezTo>
                                <a:pt x="49721" y="69127"/>
                                <a:pt x="55055" y="67069"/>
                                <a:pt x="59119" y="65304"/>
                              </a:cubicBezTo>
                              <a:lnTo>
                                <a:pt x="61544" y="75819"/>
                              </a:lnTo>
                              <a:cubicBezTo>
                                <a:pt x="57810" y="77737"/>
                                <a:pt x="49556" y="80442"/>
                                <a:pt x="39028" y="80442"/>
                              </a:cubicBezTo>
                              <a:cubicBezTo>
                                <a:pt x="15380" y="80442"/>
                                <a:pt x="0" y="64504"/>
                                <a:pt x="0" y="40945"/>
                              </a:cubicBezTo>
                              <a:cubicBezTo>
                                <a:pt x="0" y="17209"/>
                                <a:pt x="16523" y="0"/>
                                <a:pt x="42101"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6" name="Shape 96"/>
                      <wps:cNvSpPr/>
                      <wps:spPr>
                        <a:xfrm>
                          <a:off x="1385364" y="480116"/>
                          <a:ext cx="66739" cy="113093"/>
                        </a:xfrm>
                        <a:custGeom>
                          <a:avLst/>
                          <a:gdLst/>
                          <a:ahLst/>
                          <a:cxnLst/>
                          <a:rect l="0" t="0" r="0" b="0"/>
                          <a:pathLst>
                            <a:path w="66739" h="113093">
                              <a:moveTo>
                                <a:pt x="0" y="0"/>
                              </a:moveTo>
                              <a:lnTo>
                                <a:pt x="14262" y="0"/>
                              </a:lnTo>
                              <a:lnTo>
                                <a:pt x="14262" y="48095"/>
                              </a:lnTo>
                              <a:lnTo>
                                <a:pt x="14580" y="48095"/>
                              </a:lnTo>
                              <a:cubicBezTo>
                                <a:pt x="16840" y="44120"/>
                                <a:pt x="20409" y="40601"/>
                                <a:pt x="24791" y="38226"/>
                              </a:cubicBezTo>
                              <a:cubicBezTo>
                                <a:pt x="28994" y="35839"/>
                                <a:pt x="34010" y="34251"/>
                                <a:pt x="39357" y="34251"/>
                              </a:cubicBezTo>
                              <a:cubicBezTo>
                                <a:pt x="49899" y="34251"/>
                                <a:pt x="66739" y="40601"/>
                                <a:pt x="66739" y="67208"/>
                              </a:cubicBezTo>
                              <a:lnTo>
                                <a:pt x="66739" y="113093"/>
                              </a:lnTo>
                              <a:lnTo>
                                <a:pt x="52489" y="113093"/>
                              </a:lnTo>
                              <a:lnTo>
                                <a:pt x="52489" y="68808"/>
                              </a:lnTo>
                              <a:cubicBezTo>
                                <a:pt x="52489" y="56387"/>
                                <a:pt x="47790" y="45859"/>
                                <a:pt x="34341" y="45859"/>
                              </a:cubicBezTo>
                              <a:cubicBezTo>
                                <a:pt x="25121" y="45859"/>
                                <a:pt x="17831" y="52235"/>
                                <a:pt x="15227" y="59892"/>
                              </a:cubicBezTo>
                              <a:cubicBezTo>
                                <a:pt x="14427" y="61810"/>
                                <a:pt x="14262" y="63881"/>
                                <a:pt x="14262" y="66573"/>
                              </a:cubicBezTo>
                              <a:lnTo>
                                <a:pt x="14262" y="113093"/>
                              </a:lnTo>
                              <a:lnTo>
                                <a:pt x="0" y="113093"/>
                              </a:lnTo>
                              <a:lnTo>
                                <a:pt x="0"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7" name="Shape 97"/>
                      <wps:cNvSpPr/>
                      <wps:spPr>
                        <a:xfrm>
                          <a:off x="1503596" y="484091"/>
                          <a:ext cx="82944" cy="110858"/>
                        </a:xfrm>
                        <a:custGeom>
                          <a:avLst/>
                          <a:gdLst/>
                          <a:ahLst/>
                          <a:cxnLst/>
                          <a:rect l="0" t="0" r="0" b="0"/>
                          <a:pathLst>
                            <a:path w="82944" h="110858">
                              <a:moveTo>
                                <a:pt x="57036" y="0"/>
                              </a:moveTo>
                              <a:cubicBezTo>
                                <a:pt x="70624" y="0"/>
                                <a:pt x="79222" y="2883"/>
                                <a:pt x="82944" y="4776"/>
                              </a:cubicBezTo>
                              <a:lnTo>
                                <a:pt x="79540" y="16078"/>
                              </a:lnTo>
                              <a:cubicBezTo>
                                <a:pt x="74206" y="13551"/>
                                <a:pt x="66586" y="11646"/>
                                <a:pt x="57506" y="11646"/>
                              </a:cubicBezTo>
                              <a:cubicBezTo>
                                <a:pt x="31903" y="11646"/>
                                <a:pt x="14897" y="27724"/>
                                <a:pt x="14897" y="55918"/>
                              </a:cubicBezTo>
                              <a:cubicBezTo>
                                <a:pt x="14897" y="82194"/>
                                <a:pt x="30290" y="99085"/>
                                <a:pt x="56858" y="99085"/>
                              </a:cubicBezTo>
                              <a:cubicBezTo>
                                <a:pt x="65443" y="99085"/>
                                <a:pt x="74206" y="97333"/>
                                <a:pt x="79870" y="94615"/>
                              </a:cubicBezTo>
                              <a:lnTo>
                                <a:pt x="82779" y="105614"/>
                              </a:lnTo>
                              <a:cubicBezTo>
                                <a:pt x="77597" y="108166"/>
                                <a:pt x="67234" y="110858"/>
                                <a:pt x="53937" y="110858"/>
                              </a:cubicBezTo>
                              <a:cubicBezTo>
                                <a:pt x="23178" y="110858"/>
                                <a:pt x="0" y="91593"/>
                                <a:pt x="0" y="56388"/>
                              </a:cubicBezTo>
                              <a:cubicBezTo>
                                <a:pt x="0" y="22784"/>
                                <a:pt x="23178" y="0"/>
                                <a:pt x="57036"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8" name="Shape 98"/>
                      <wps:cNvSpPr/>
                      <wps:spPr>
                        <a:xfrm>
                          <a:off x="1596094" y="514828"/>
                          <a:ext cx="34585" cy="79433"/>
                        </a:xfrm>
                        <a:custGeom>
                          <a:avLst/>
                          <a:gdLst/>
                          <a:ahLst/>
                          <a:cxnLst/>
                          <a:rect l="0" t="0" r="0" b="0"/>
                          <a:pathLst>
                            <a:path w="34585" h="79433">
                              <a:moveTo>
                                <a:pt x="34585" y="0"/>
                              </a:moveTo>
                              <a:lnTo>
                                <a:pt x="34585" y="9807"/>
                              </a:lnTo>
                              <a:lnTo>
                                <a:pt x="26287" y="11757"/>
                              </a:lnTo>
                              <a:cubicBezTo>
                                <a:pt x="18377" y="15887"/>
                                <a:pt x="14615" y="25060"/>
                                <a:pt x="13767" y="32347"/>
                              </a:cubicBezTo>
                              <a:lnTo>
                                <a:pt x="34585" y="32347"/>
                              </a:lnTo>
                              <a:lnTo>
                                <a:pt x="34585" y="42380"/>
                              </a:lnTo>
                              <a:lnTo>
                                <a:pt x="13615" y="42380"/>
                              </a:lnTo>
                              <a:cubicBezTo>
                                <a:pt x="13774" y="51860"/>
                                <a:pt x="16929" y="58547"/>
                                <a:pt x="21829" y="62863"/>
                              </a:cubicBezTo>
                              <a:lnTo>
                                <a:pt x="34585" y="67142"/>
                              </a:lnTo>
                              <a:lnTo>
                                <a:pt x="34585" y="79433"/>
                              </a:lnTo>
                              <a:lnTo>
                                <a:pt x="22342" y="77298"/>
                              </a:lnTo>
                              <a:cubicBezTo>
                                <a:pt x="8108" y="71775"/>
                                <a:pt x="0" y="58550"/>
                                <a:pt x="0" y="41110"/>
                              </a:cubicBezTo>
                              <a:cubicBezTo>
                                <a:pt x="0" y="23669"/>
                                <a:pt x="7837" y="9008"/>
                                <a:pt x="21389" y="2767"/>
                              </a:cubicBezTo>
                              <a:lnTo>
                                <a:pt x="3458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99" name="Shape 99"/>
                      <wps:cNvSpPr/>
                      <wps:spPr>
                        <a:xfrm>
                          <a:off x="1630679" y="579979"/>
                          <a:ext cx="30046" cy="14974"/>
                        </a:xfrm>
                        <a:custGeom>
                          <a:avLst/>
                          <a:gdLst/>
                          <a:ahLst/>
                          <a:cxnLst/>
                          <a:rect l="0" t="0" r="0" b="0"/>
                          <a:pathLst>
                            <a:path w="30046" h="14974">
                              <a:moveTo>
                                <a:pt x="27620" y="0"/>
                              </a:moveTo>
                              <a:lnTo>
                                <a:pt x="30046" y="10046"/>
                              </a:lnTo>
                              <a:cubicBezTo>
                                <a:pt x="25029" y="12281"/>
                                <a:pt x="16432" y="14974"/>
                                <a:pt x="3960" y="14974"/>
                              </a:cubicBezTo>
                              <a:lnTo>
                                <a:pt x="0" y="14283"/>
                              </a:lnTo>
                              <a:lnTo>
                                <a:pt x="0" y="1991"/>
                              </a:lnTo>
                              <a:lnTo>
                                <a:pt x="5916" y="3976"/>
                              </a:lnTo>
                              <a:cubicBezTo>
                                <a:pt x="16114" y="3976"/>
                                <a:pt x="22261" y="2236"/>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0" name="Shape 100"/>
                      <wps:cNvSpPr/>
                      <wps:spPr>
                        <a:xfrm>
                          <a:off x="1630679" y="514371"/>
                          <a:ext cx="34580" cy="42837"/>
                        </a:xfrm>
                        <a:custGeom>
                          <a:avLst/>
                          <a:gdLst/>
                          <a:ahLst/>
                          <a:cxnLst/>
                          <a:rect l="0" t="0" r="0" b="0"/>
                          <a:pathLst>
                            <a:path w="34580" h="42837">
                              <a:moveTo>
                                <a:pt x="2182" y="0"/>
                              </a:moveTo>
                              <a:cubicBezTo>
                                <a:pt x="27773" y="0"/>
                                <a:pt x="34580" y="22136"/>
                                <a:pt x="34580" y="36296"/>
                              </a:cubicBezTo>
                              <a:cubicBezTo>
                                <a:pt x="34580" y="39167"/>
                                <a:pt x="34250" y="41415"/>
                                <a:pt x="34097" y="42837"/>
                              </a:cubicBezTo>
                              <a:lnTo>
                                <a:pt x="0" y="42837"/>
                              </a:lnTo>
                              <a:lnTo>
                                <a:pt x="0" y="32804"/>
                              </a:lnTo>
                              <a:lnTo>
                                <a:pt x="20813" y="32804"/>
                              </a:lnTo>
                              <a:cubicBezTo>
                                <a:pt x="20978" y="23888"/>
                                <a:pt x="17079" y="10020"/>
                                <a:pt x="1039" y="10020"/>
                              </a:cubicBezTo>
                              <a:lnTo>
                                <a:pt x="0" y="10264"/>
                              </a:lnTo>
                              <a:lnTo>
                                <a:pt x="0" y="457"/>
                              </a:lnTo>
                              <a:lnTo>
                                <a:pt x="2182"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1" name="Shape 101"/>
                      <wps:cNvSpPr/>
                      <wps:spPr>
                        <a:xfrm>
                          <a:off x="1682268" y="514368"/>
                          <a:ext cx="67374" cy="78842"/>
                        </a:xfrm>
                        <a:custGeom>
                          <a:avLst/>
                          <a:gdLst/>
                          <a:ahLst/>
                          <a:cxnLst/>
                          <a:rect l="0" t="0" r="0" b="0"/>
                          <a:pathLst>
                            <a:path w="67374" h="78842">
                              <a:moveTo>
                                <a:pt x="39688" y="0"/>
                              </a:moveTo>
                              <a:cubicBezTo>
                                <a:pt x="50533" y="0"/>
                                <a:pt x="67374" y="6350"/>
                                <a:pt x="67374" y="32804"/>
                              </a:cubicBezTo>
                              <a:lnTo>
                                <a:pt x="67374" y="78842"/>
                              </a:lnTo>
                              <a:lnTo>
                                <a:pt x="53125" y="78842"/>
                              </a:lnTo>
                              <a:lnTo>
                                <a:pt x="53125" y="34404"/>
                              </a:lnTo>
                              <a:cubicBezTo>
                                <a:pt x="53125" y="21971"/>
                                <a:pt x="48438" y="11608"/>
                                <a:pt x="34989" y="11608"/>
                              </a:cubicBezTo>
                              <a:cubicBezTo>
                                <a:pt x="25591" y="11608"/>
                                <a:pt x="18288" y="18161"/>
                                <a:pt x="15875" y="25959"/>
                              </a:cubicBezTo>
                              <a:cubicBezTo>
                                <a:pt x="15228" y="27711"/>
                                <a:pt x="14910" y="30099"/>
                                <a:pt x="14910" y="32486"/>
                              </a:cubicBezTo>
                              <a:lnTo>
                                <a:pt x="14910" y="78842"/>
                              </a:lnTo>
                              <a:lnTo>
                                <a:pt x="648" y="78842"/>
                              </a:lnTo>
                              <a:lnTo>
                                <a:pt x="648" y="22619"/>
                              </a:lnTo>
                              <a:cubicBezTo>
                                <a:pt x="648" y="14643"/>
                                <a:pt x="471" y="8128"/>
                                <a:pt x="0" y="1753"/>
                              </a:cubicBezTo>
                              <a:lnTo>
                                <a:pt x="12636" y="1753"/>
                              </a:lnTo>
                              <a:lnTo>
                                <a:pt x="13437" y="14478"/>
                              </a:lnTo>
                              <a:lnTo>
                                <a:pt x="13767" y="14478"/>
                              </a:lnTo>
                              <a:cubicBezTo>
                                <a:pt x="17653" y="7163"/>
                                <a:pt x="26708" y="0"/>
                                <a:pt x="39688"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2" name="Shape 102"/>
                      <wps:cNvSpPr/>
                      <wps:spPr>
                        <a:xfrm>
                          <a:off x="1763244" y="497643"/>
                          <a:ext cx="46494" cy="97307"/>
                        </a:xfrm>
                        <a:custGeom>
                          <a:avLst/>
                          <a:gdLst/>
                          <a:ahLst/>
                          <a:cxnLst/>
                          <a:rect l="0" t="0" r="0" b="0"/>
                          <a:pathLst>
                            <a:path w="46494" h="97307">
                              <a:moveTo>
                                <a:pt x="26085" y="0"/>
                              </a:moveTo>
                              <a:lnTo>
                                <a:pt x="26085" y="18479"/>
                              </a:lnTo>
                              <a:lnTo>
                                <a:pt x="46494" y="18479"/>
                              </a:lnTo>
                              <a:lnTo>
                                <a:pt x="46494" y="29146"/>
                              </a:lnTo>
                              <a:lnTo>
                                <a:pt x="26085" y="29146"/>
                              </a:lnTo>
                              <a:lnTo>
                                <a:pt x="26085" y="70714"/>
                              </a:lnTo>
                              <a:cubicBezTo>
                                <a:pt x="26085" y="80276"/>
                                <a:pt x="28842" y="85687"/>
                                <a:pt x="36779" y="85687"/>
                              </a:cubicBezTo>
                              <a:cubicBezTo>
                                <a:pt x="40665" y="85687"/>
                                <a:pt x="42938" y="85369"/>
                                <a:pt x="45047" y="84734"/>
                              </a:cubicBezTo>
                              <a:lnTo>
                                <a:pt x="45682" y="95250"/>
                              </a:lnTo>
                              <a:cubicBezTo>
                                <a:pt x="42938" y="96355"/>
                                <a:pt x="38557" y="97307"/>
                                <a:pt x="33045" y="97307"/>
                              </a:cubicBezTo>
                              <a:cubicBezTo>
                                <a:pt x="26415" y="97307"/>
                                <a:pt x="21069" y="95098"/>
                                <a:pt x="17666" y="91249"/>
                              </a:cubicBezTo>
                              <a:cubicBezTo>
                                <a:pt x="13614" y="87122"/>
                                <a:pt x="12154" y="80276"/>
                                <a:pt x="12154" y="71184"/>
                              </a:cubicBezTo>
                              <a:lnTo>
                                <a:pt x="12154" y="29146"/>
                              </a:lnTo>
                              <a:lnTo>
                                <a:pt x="0" y="29146"/>
                              </a:lnTo>
                              <a:lnTo>
                                <a:pt x="0" y="18479"/>
                              </a:lnTo>
                              <a:lnTo>
                                <a:pt x="12154" y="18479"/>
                              </a:lnTo>
                              <a:lnTo>
                                <a:pt x="12154" y="4293"/>
                              </a:lnTo>
                              <a:lnTo>
                                <a:pt x="2608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3" name="Shape 103"/>
                      <wps:cNvSpPr/>
                      <wps:spPr>
                        <a:xfrm>
                          <a:off x="1825130" y="514368"/>
                          <a:ext cx="39344" cy="78842"/>
                        </a:xfrm>
                        <a:custGeom>
                          <a:avLst/>
                          <a:gdLst/>
                          <a:ahLst/>
                          <a:cxnLst/>
                          <a:rect l="0" t="0" r="0" b="0"/>
                          <a:pathLst>
                            <a:path w="39344" h="78842">
                              <a:moveTo>
                                <a:pt x="35306" y="0"/>
                              </a:moveTo>
                              <a:cubicBezTo>
                                <a:pt x="36919" y="0"/>
                                <a:pt x="38062" y="153"/>
                                <a:pt x="39344" y="470"/>
                              </a:cubicBezTo>
                              <a:lnTo>
                                <a:pt x="39344" y="13691"/>
                              </a:lnTo>
                              <a:cubicBezTo>
                                <a:pt x="37897" y="13374"/>
                                <a:pt x="36449" y="13221"/>
                                <a:pt x="34493" y="13221"/>
                              </a:cubicBezTo>
                              <a:cubicBezTo>
                                <a:pt x="24460" y="13221"/>
                                <a:pt x="17335" y="20675"/>
                                <a:pt x="15380" y="31204"/>
                              </a:cubicBezTo>
                              <a:cubicBezTo>
                                <a:pt x="15062" y="33122"/>
                                <a:pt x="14732" y="35357"/>
                                <a:pt x="14732" y="37744"/>
                              </a:cubicBezTo>
                              <a:lnTo>
                                <a:pt x="14732" y="78842"/>
                              </a:lnTo>
                              <a:lnTo>
                                <a:pt x="635" y="78842"/>
                              </a:lnTo>
                              <a:lnTo>
                                <a:pt x="635" y="25794"/>
                              </a:lnTo>
                              <a:cubicBezTo>
                                <a:pt x="635" y="16726"/>
                                <a:pt x="482" y="8903"/>
                                <a:pt x="0" y="1753"/>
                              </a:cubicBezTo>
                              <a:lnTo>
                                <a:pt x="12471" y="1753"/>
                              </a:lnTo>
                              <a:lnTo>
                                <a:pt x="12953" y="16878"/>
                              </a:lnTo>
                              <a:lnTo>
                                <a:pt x="13601" y="16878"/>
                              </a:lnTo>
                              <a:cubicBezTo>
                                <a:pt x="17170" y="6528"/>
                                <a:pt x="25756" y="0"/>
                                <a:pt x="35306"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4" name="Shape 104"/>
                      <wps:cNvSpPr/>
                      <wps:spPr>
                        <a:xfrm>
                          <a:off x="1871444" y="514831"/>
                          <a:ext cx="34585" cy="79429"/>
                        </a:xfrm>
                        <a:custGeom>
                          <a:avLst/>
                          <a:gdLst/>
                          <a:ahLst/>
                          <a:cxnLst/>
                          <a:rect l="0" t="0" r="0" b="0"/>
                          <a:pathLst>
                            <a:path w="34585" h="79429">
                              <a:moveTo>
                                <a:pt x="34585" y="0"/>
                              </a:moveTo>
                              <a:lnTo>
                                <a:pt x="34585" y="9805"/>
                              </a:lnTo>
                              <a:lnTo>
                                <a:pt x="26287" y="11754"/>
                              </a:lnTo>
                              <a:cubicBezTo>
                                <a:pt x="18377" y="15885"/>
                                <a:pt x="14615" y="25057"/>
                                <a:pt x="13767" y="32345"/>
                              </a:cubicBezTo>
                              <a:lnTo>
                                <a:pt x="34585" y="32345"/>
                              </a:lnTo>
                              <a:lnTo>
                                <a:pt x="34585" y="42377"/>
                              </a:lnTo>
                              <a:lnTo>
                                <a:pt x="13602" y="42377"/>
                              </a:lnTo>
                              <a:cubicBezTo>
                                <a:pt x="13767" y="51857"/>
                                <a:pt x="16927" y="58544"/>
                                <a:pt x="21827" y="62861"/>
                              </a:cubicBezTo>
                              <a:lnTo>
                                <a:pt x="34585" y="67139"/>
                              </a:lnTo>
                              <a:lnTo>
                                <a:pt x="34585" y="79429"/>
                              </a:lnTo>
                              <a:lnTo>
                                <a:pt x="22347" y="77295"/>
                              </a:lnTo>
                              <a:cubicBezTo>
                                <a:pt x="8108" y="71773"/>
                                <a:pt x="0" y="58548"/>
                                <a:pt x="0" y="41108"/>
                              </a:cubicBezTo>
                              <a:cubicBezTo>
                                <a:pt x="0" y="23667"/>
                                <a:pt x="7837" y="9006"/>
                                <a:pt x="21394" y="2765"/>
                              </a:cubicBezTo>
                              <a:lnTo>
                                <a:pt x="34585"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5" name="Shape 105"/>
                      <wps:cNvSpPr/>
                      <wps:spPr>
                        <a:xfrm>
                          <a:off x="1906029" y="579979"/>
                          <a:ext cx="30046" cy="14974"/>
                        </a:xfrm>
                        <a:custGeom>
                          <a:avLst/>
                          <a:gdLst/>
                          <a:ahLst/>
                          <a:cxnLst/>
                          <a:rect l="0" t="0" r="0" b="0"/>
                          <a:pathLst>
                            <a:path w="30046" h="14974">
                              <a:moveTo>
                                <a:pt x="27620" y="0"/>
                              </a:moveTo>
                              <a:lnTo>
                                <a:pt x="30046" y="10046"/>
                              </a:lnTo>
                              <a:cubicBezTo>
                                <a:pt x="25029" y="12281"/>
                                <a:pt x="16432" y="14974"/>
                                <a:pt x="3973" y="14974"/>
                              </a:cubicBezTo>
                              <a:lnTo>
                                <a:pt x="0" y="14281"/>
                              </a:lnTo>
                              <a:lnTo>
                                <a:pt x="0" y="1991"/>
                              </a:lnTo>
                              <a:lnTo>
                                <a:pt x="5916" y="3976"/>
                              </a:lnTo>
                              <a:cubicBezTo>
                                <a:pt x="16127" y="3976"/>
                                <a:pt x="22273" y="2236"/>
                                <a:pt x="27620" y="0"/>
                              </a:cubicBez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6" name="Shape 106"/>
                      <wps:cNvSpPr/>
                      <wps:spPr>
                        <a:xfrm>
                          <a:off x="1906029" y="514371"/>
                          <a:ext cx="34580" cy="42837"/>
                        </a:xfrm>
                        <a:custGeom>
                          <a:avLst/>
                          <a:gdLst/>
                          <a:ahLst/>
                          <a:cxnLst/>
                          <a:rect l="0" t="0" r="0" b="0"/>
                          <a:pathLst>
                            <a:path w="34580" h="42837">
                              <a:moveTo>
                                <a:pt x="2194" y="0"/>
                              </a:moveTo>
                              <a:cubicBezTo>
                                <a:pt x="27785" y="0"/>
                                <a:pt x="34580" y="22136"/>
                                <a:pt x="34580" y="36296"/>
                              </a:cubicBezTo>
                              <a:cubicBezTo>
                                <a:pt x="34580" y="39167"/>
                                <a:pt x="34262" y="41415"/>
                                <a:pt x="34097" y="42837"/>
                              </a:cubicBezTo>
                              <a:lnTo>
                                <a:pt x="0" y="42837"/>
                              </a:lnTo>
                              <a:lnTo>
                                <a:pt x="0" y="32804"/>
                              </a:lnTo>
                              <a:lnTo>
                                <a:pt x="20813" y="32804"/>
                              </a:lnTo>
                              <a:cubicBezTo>
                                <a:pt x="20978" y="23888"/>
                                <a:pt x="17092" y="10020"/>
                                <a:pt x="1039" y="10020"/>
                              </a:cubicBezTo>
                              <a:lnTo>
                                <a:pt x="0" y="10264"/>
                              </a:lnTo>
                              <a:lnTo>
                                <a:pt x="0" y="460"/>
                              </a:lnTo>
                              <a:lnTo>
                                <a:pt x="2194" y="0"/>
                              </a:lnTo>
                              <a:close/>
                            </a:path>
                          </a:pathLst>
                        </a:custGeom>
                        <a:ln w="0" cap="flat">
                          <a:miter lim="127000"/>
                        </a:ln>
                      </wps:spPr>
                      <wps:style>
                        <a:lnRef idx="0">
                          <a:srgbClr val="000000">
                            <a:alpha val="0"/>
                          </a:srgbClr>
                        </a:lnRef>
                        <a:fillRef idx="1">
                          <a:srgbClr val="211D1F"/>
                        </a:fillRef>
                        <a:effectRef idx="0">
                          <a:scrgbClr r="0" g="0" b="0"/>
                        </a:effectRef>
                        <a:fontRef idx="none"/>
                      </wps:style>
                      <wps:bodyPr/>
                    </wps:wsp>
                    <wps:wsp>
                      <wps:cNvPr id="107" name="Shape 107"/>
                      <wps:cNvSpPr/>
                      <wps:spPr>
                        <a:xfrm>
                          <a:off x="889" y="441325"/>
                          <a:ext cx="1943100" cy="0"/>
                        </a:xfrm>
                        <a:custGeom>
                          <a:avLst/>
                          <a:gdLst/>
                          <a:ahLst/>
                          <a:cxnLst/>
                          <a:rect l="0" t="0" r="0" b="0"/>
                          <a:pathLst>
                            <a:path w="1943100">
                              <a:moveTo>
                                <a:pt x="0" y="0"/>
                              </a:moveTo>
                              <a:lnTo>
                                <a:pt x="1943100" y="0"/>
                              </a:lnTo>
                            </a:path>
                          </a:pathLst>
                        </a:custGeom>
                        <a:ln w="9766"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B29EB53" id="Group 24985" o:spid="_x0000_s1026" alt="Title: SPRC Logo - Description: SPRC Logo" style="position:absolute;margin-left:432.85pt;margin-top:757.5pt;width:132.3pt;height:41.05pt;z-index:251661312;mso-position-horizontal-relative:page;mso-position-vertical-relative:page;mso-width-relative:margin;mso-height-relative:margin" coordsize="19439,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">
              <v:shape id="Shape 14" o:spid="_x0000_s1027" style="position:absolute;left:61;width:2130;height:3937;visibility:visible;mso-wrap-style:square;v-text-anchor:top" coordsize="213004,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" path="m174942,r12891,41186c150394,46533,59538,72212,59538,117145v,27813,43586,44933,69367,58306c175565,199517,213004,216636,213004,259969v,52426,-63843,109664,-181699,133731l15342,353581c75502,342888,152235,316141,152235,272809v,-26746,-19647,-40653,-63843,-61519c36208,186690,,164224,,126238,,69532,90843,16573,174942,xe" fillcolor="#211d1f" stroked="f" strokeweight="0">
                <v:stroke miterlimit="83231f" joinstyle="miter"/>
                <v:path arrowok="t" textboxrect="0,0,213004,393700"/>
              </v:shape>
              <v:shape id="Shape 15" o:spid="_x0000_s1028" style="position:absolute;left:3762;top:96;width:1237;height:3744;visibility:visible;mso-wrap-style:square;v-text-anchor:top" coordsize="123698,37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" path="m1232,c27013,,78575,1600,116637,6947r7061,1656l123698,48775,97856,42734c85703,40895,71977,39774,56477,39573r,185623c75812,221586,93883,216739,110112,210579r13586,-7175l123698,243901,56477,262648r,31560c56477,304902,56477,363207,57708,374447l,374447c1232,351434,3073,222529,3073,184544r,-58839c3073,113399,1232,8013,1232,xe" fillcolor="#211d1f" stroked="f" strokeweight="0">
                <v:stroke miterlimit="83231f" joinstyle="miter"/>
                <v:path arrowok="t" textboxrect="0,0,123698,374447"/>
              </v:shape>
              <v:shape id="Shape 16" o:spid="_x0000_s1029" style="position:absolute;left:4999;top:182;width:1267;height:2353;visibility:visible;mso-wrap-style:square;v-text-anchor:top" coordsize="126759,23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" path="m,l48551,11385v49204,17250,78208,47135,78208,89664c126759,156018,83253,203157,12294,231869l,235298,,194801,29004,179484c52946,161765,67221,138495,67221,109076,67221,97036,61349,60029,6099,41597l,40172,,xe" fillcolor="#211d1f" stroked="f" strokeweight="0">
                <v:stroke miterlimit="83231f" joinstyle="miter"/>
                <v:path arrowok="t" textboxrect="0,0,126759,235298"/>
              </v:shape>
              <v:shape id="Shape 17" o:spid="_x0000_s1030" style="position:absolute;left:7616;top:96;width:3125;height:3841;visibility:visible;mso-wrap-style:square;v-text-anchor:top" coordsize="312470,38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" path="m,c28854,,80429,534,127698,5347v81014,8560,127064,38506,127064,83986c254762,134798,219773,170104,169430,197917v15355,18187,125845,137478,143040,153531l265811,384073c259067,376581,120942,218784,102527,196317v30696,-14440,92075,-47079,92075,-99504c194602,72746,174346,36906,58331,35840r,174917c58331,231077,60160,366421,61392,374447r-59538,c4305,361607,3073,192037,3073,180797r,-43865c3073,120892,1854,10161,,xe" fillcolor="#211d1f" stroked="f" strokeweight="0">
                <v:stroke miterlimit="83231f" joinstyle="miter"/>
                <v:path arrowok="t" textboxrect="0,0,312470,384073"/>
              </v:shape>
              <v:shape id="Shape 18" o:spid="_x0000_s1031" style="position:absolute;left:11434;top:10;width:3450;height:3916;visibility:visible;mso-wrap-style:square;v-text-anchor:top" coordsize="344996,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" path="m309385,r9220,44933c178029,58852,62001,132131,62001,224142v,65253,58928,126771,205639,126771c292202,350913,317983,347700,338849,343433r6147,42787c326580,389433,298336,391567,261506,391567,52185,391567,,282448,,233235,,145504,92697,33706,309385,xe" fillcolor="#211d1f" stroked="f" strokeweight="0">
                <v:stroke miterlimit="83231f" joinstyle="miter"/>
                <v:path arrowok="t" textboxrect="0,0,344996,391567"/>
              </v:shape>
              <v:shape id="Shape 19" o:spid="_x0000_s1032" style="position:absolute;top:4841;width:660;height:1108;visibility:visible;mso-wrap-style:square;v-text-anchor:top" coordsize="66093,11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" path="m37581,c48757,,56860,2540,61712,5245l57826,16549c54270,14643,46980,11456,37099,11456v-14910,,-20587,8762,-20587,16090c16512,37579,23167,42520,38229,48247v18466,7011,27864,15774,27864,31534c66093,96342,53622,110833,27853,110833v-5264,,-10769,-797,-15689,-2071l,103827r,-39l3558,92202v6312,3823,15558,6998,25273,6998c43246,99200,51679,91719,51679,80899v,-10033,-5842,-15774,-20574,-21348c13274,53340,2263,44259,2263,29134,2263,12421,16360,,37581,xe" fillcolor="#211d1f" stroked="f" strokeweight="0">
                <v:stroke miterlimit="83231f" joinstyle="miter"/>
                <v:path arrowok="t" textboxrect="0,0,66093,110833"/>
              </v:shape>
              <v:shape id="Shape 20" o:spid="_x0000_s1033" style="position:absolute;left:800;top:5145;width:382;height:804;visibility:visible;mso-wrap-style:square;v-text-anchor:top" coordsize="38227,8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" path="m38227,r,10477l27675,13014c18515,17998,14415,29340,14415,40332v,16878,9880,29616,23812,29616l38227,80354r-648,109c16358,80463,,65173,,40815,,21459,9658,8113,23644,2649l38227,xe" fillcolor="#211d1f" stroked="f" strokeweight="0">
                <v:stroke miterlimit="83231f" joinstyle="miter"/>
                <v:path arrowok="t" textboxrect="0,0,38227,80463"/>
              </v:shape>
              <v:shape id="Shape 21" o:spid="_x0000_s1034" style="position:absolute;left:1182;top:5143;width:384;height:805;visibility:visible;mso-wrap-style:square;v-text-anchor:top" coordsize="38392,8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" path="m648,c23165,,38392,16078,38392,39650v,21383,-11294,33715,-24940,38545l,80472,,70066v13614,,23813,-12573,23813,-29934c23813,27063,17170,10516,330,10516l,10595,,118,648,xe" fillcolor="#211d1f" stroked="f" strokeweight="0">
                <v:stroke miterlimit="83231f" joinstyle="miter"/>
                <v:path arrowok="t" textboxrect="0,0,38392,80472"/>
              </v:shape>
              <v:shape id="Shape 22" o:spid="_x0000_s1035" style="position:absolute;left:1689;top:5145;width:619;height:804;visibility:visible;mso-wrap-style:square;v-text-anchor:top" coordsize="61887,8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" path="m42113,v8433,,15875,2070,19774,3988l58649,14821c55245,12903,49899,11150,42113,11150v-17983,,-27698,13056,-27698,29147c14415,58127,26073,69114,41631,69114v8102,,13449,-2058,17500,-3811l61557,75806v-3721,1918,-11989,4623,-22517,4623c15392,80429,,64503,,40932,,17208,16523,,42113,xe" fillcolor="#211d1f" stroked="f" strokeweight="0">
                <v:stroke miterlimit="83231f" joinstyle="miter"/>
                <v:path arrowok="t" textboxrect="0,0,61887,80429"/>
              </v:shape>
              <v:shape id="Shape 38234" o:spid="_x0000_s1036" style="position:absolute;left:2471;top:5161;width:143;height:771;visibility:visible;mso-wrap-style:square;v-text-anchor:top" coordsize="14250,7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" path="m,l14250,r,77076l,77076,,e" fillcolor="#211d1f" stroked="f" strokeweight="0">
                <v:stroke miterlimit="83231f" joinstyle="miter"/>
                <v:path arrowok="t" textboxrect="0,0,14250,77076"/>
              </v:shape>
              <v:shape id="Shape 24" o:spid="_x0000_s1037" style="position:absolute;left:2453;top:4857;width:179;height:173;visibility:visible;mso-wrap-style:square;v-text-anchor:top" coordsize="17818,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" path="m8915,v5347,,8738,3810,8738,8750c17818,13526,14262,17348,8585,17348,3569,17348,,13526,,8750,,3810,3721,,8915,xe" fillcolor="#211d1f" stroked="f" strokeweight="0">
                <v:stroke miterlimit="83231f" joinstyle="miter"/>
                <v:path arrowok="t" textboxrect="0,0,17818,17348"/>
              </v:shape>
              <v:shape id="Shape 25" o:spid="_x0000_s1038" style="position:absolute;left:2789;top:5456;width:308;height:493;visibility:visible;mso-wrap-style:square;v-text-anchor:top" coordsize="30867,4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" path="m30867,r,10439l25033,11205c18676,13713,14262,18132,14262,25619v,9081,6160,13373,13449,13373l30867,37979r,9724l23978,49343c8103,49343,,38357,,27207,,13234,9480,4011,26998,343l30867,xe" fillcolor="#211d1f" stroked="f" strokeweight="0">
                <v:stroke miterlimit="83231f" joinstyle="miter"/>
                <v:path arrowok="t" textboxrect="0,0,30867,49343"/>
              </v:shape>
              <v:shape id="Shape 26" o:spid="_x0000_s1039" style="position:absolute;left:2845;top:5145;width:252;height:159;visibility:visible;mso-wrap-style:square;v-text-anchor:top" coordsize="25190,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" path="m25190,r,10518l23647,10213v-7289,,-14897,2222,-20409,5727l,6707,25190,xe" fillcolor="#211d1f" stroked="f" strokeweight="0">
                <v:stroke miterlimit="83231f" joinstyle="miter"/>
                <v:path arrowok="t" textboxrect="0,0,25190,15940"/>
              </v:shape>
              <v:shape id="Shape 27" o:spid="_x0000_s1040" style="position:absolute;left:3097;top:5143;width:317;height:790;visibility:visible;mso-wrap-style:square;v-text-anchor:top" coordsize="31667,7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" path="m565,c24543,,30372,16090,30372,31547r,28816c30372,67056,30702,73584,31667,78829r-12954,l17570,69126r-482,c14903,72149,11703,75012,7651,77121l,78942,,69217,9295,66233v3179,-2406,5367,-5629,6497,-8892c16275,55905,16605,54305,16605,52883r,-13386l,41677,,31238,16275,29794r,-1600c16275,23422,15275,15778,8008,12254l,10668,,150,565,xe" fillcolor="#211d1f" stroked="f" strokeweight="0">
                <v:stroke miterlimit="83231f" joinstyle="miter"/>
                <v:path arrowok="t" textboxrect="0,0,31667,78942"/>
              </v:shape>
              <v:shape id="Shape 38235" o:spid="_x0000_s1041" style="position:absolute;left:3631;top:4801;width:142;height:1131;visibility:visible;mso-wrap-style:square;v-text-anchor:top" coordsize="14250,1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" path="m,l14250,r,113068l,113068,,e" fillcolor="#211d1f" stroked="f" strokeweight="0">
                <v:stroke miterlimit="83231f" joinstyle="miter"/>
                <v:path arrowok="t" textboxrect="0,0,14250,113068"/>
              </v:shape>
              <v:shape id="Shape 29" o:spid="_x0000_s1042" style="position:absolute;left:4361;top:4850;width:337;height:1082;visibility:visible;mso-wrap-style:square;v-text-anchor:top" coordsize="33617,10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" path="m27051,r6566,836l33617,12717,27381,10985v-6159,,-10858,483,-13284,1118l14097,53822v3073,788,6959,1118,11658,1118l33617,52623r,12183l25438,66078v-4216,,-8103,-153,-11341,-953l14097,108128,,108128,,2057c6807,952,15710,,27051,xe" fillcolor="#211d1f" stroked="f" strokeweight="0">
                <v:stroke miterlimit="83231f" joinstyle="miter"/>
                <v:path arrowok="t" textboxrect="0,0,33617,108128"/>
              </v:shape>
              <v:shape id="Shape 30" o:spid="_x0000_s1043" style="position:absolute;left:4698;top:4859;width:336;height:639;visibility:visible;mso-wrap-style:square;v-text-anchor:top" coordsize="33617,6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" path="m,l11539,1470v5104,1510,9276,3739,12515,6609c30048,13172,33617,20970,33617,30533v,9716,-2921,17361,-8433,22937c21463,57369,16564,60311,10874,62280l,63971,,51788,12211,48189v4718,-3883,7309,-9617,7309,-17021c19520,24081,16967,18827,12471,15344l,11881,,xe" fillcolor="#211d1f" stroked="f" strokeweight="0">
                <v:stroke miterlimit="83231f" joinstyle="miter"/>
                <v:path arrowok="t" textboxrect="0,0,33617,63971"/>
              </v:shape>
              <v:shape id="Shape 31" o:spid="_x0000_s1044" style="position:absolute;left:5123;top:5145;width:382;height:804;visibility:visible;mso-wrap-style:square;v-text-anchor:top" coordsize="38227,8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" path="m38227,r,10477l27675,13014c18515,17998,14415,29340,14415,40332v,16878,9880,29616,23812,29616l38227,80354r-648,109c16358,80463,,65173,,40815,,21459,9658,8113,23644,2649l38227,xe" fillcolor="#211d1f" stroked="f" strokeweight="0">
                <v:stroke miterlimit="83231f" joinstyle="miter"/>
                <v:path arrowok="t" textboxrect="0,0,38227,80463"/>
              </v:shape>
              <v:shape id="Shape 32" o:spid="_x0000_s1045" style="position:absolute;left:5505;top:5143;width:384;height:805;visibility:visible;mso-wrap-style:square;v-text-anchor:top" coordsize="38392,8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" path="m648,c23165,,38392,16078,38392,39650v,21383,-11294,33715,-24940,38545l,80472,,70066v13614,,23813,-12573,23813,-29934c23813,27063,17170,10516,330,10516l,10595,,118,648,xe" fillcolor="#211d1f" stroked="f" strokeweight="0">
                <v:stroke miterlimit="83231f" joinstyle="miter"/>
                <v:path arrowok="t" textboxrect="0,0,38392,80472"/>
              </v:shape>
              <v:shape id="Shape 35" o:spid="_x0000_s1046" style="position:absolute;left:6433;top:4857;width:178;height:173;visibility:visible;mso-wrap-style:square;v-text-anchor:top" coordsize="17818,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" path="m8915,v5347,,8751,3810,8751,8750c17818,13526,14262,17348,8585,17348,3569,17348,,13526,,8750,,3810,3734,,8915,xe" fillcolor="#211d1f" stroked="f" strokeweight="0">
                <v:stroke miterlimit="83231f" joinstyle="miter"/>
                <v:path arrowok="t" textboxrect="0,0,17818,17348"/>
              </v:shape>
              <v:shape id="Shape 36" o:spid="_x0000_s1047" style="position:absolute;left:6773;top:5145;width:619;height:804;visibility:visible;mso-wrap-style:square;v-text-anchor:top" coordsize="61887,8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" path="m42113,v8433,,15875,2070,19774,3988l58648,14821c55245,12903,49898,11150,42113,11150v-17983,,-27699,13056,-27699,29147c14414,58127,26073,69114,41630,69114v8103,,13450,-2058,17501,-3811l61557,75806v-3721,1918,-11989,4623,-22518,4623c15392,80429,,64503,,40932,,17208,16523,,42113,xe" fillcolor="#211d1f" stroked="f" strokeweight="0">
                <v:stroke miterlimit="83231f" joinstyle="miter"/>
                <v:path arrowok="t" textboxrect="0,0,61887,80429"/>
              </v:shape>
              <v:shape id="Shape 37" o:spid="_x0000_s1048" style="position:absolute;left:7479;top:5161;width:738;height:1123;visibility:visible;mso-wrap-style:square;v-text-anchor:top" coordsize="73711,1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" path="m,l15545,,32715,45555v1791,5092,3734,11138,5029,15761l38062,61316v1460,-4623,3073,-10516,5029,-16092l58649,,73711,,52324,54940c42113,81382,35154,94907,25426,103200v-6960,6045,-13933,8433,-17488,9081l4369,100495v3569,-1117,8267,-3353,12471,-6858c20739,90615,25590,85204,28829,78029v647,-1423,1130,-2541,1130,-3341c29959,73901,29642,72784,28994,71031l,xe" fillcolor="#211d1f" stroked="f" strokeweight="0">
                <v:stroke miterlimit="83231f" joinstyle="miter"/>
                <v:path arrowok="t" textboxrect="0,0,73711,112281"/>
              </v:shape>
              <v:shape id="Shape 38" o:spid="_x0000_s1049" style="position:absolute;left:8694;top:4850;width:336;height:1082;visibility:visible;mso-wrap-style:square;v-text-anchor:top" coordsize="33617,10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" path="m27051,r6566,733l33617,12176,28029,10668v-6807,,-11671,635,-13932,1270l14097,51118r14414,l33617,49527r,14268l27381,61621r-13284,l14097,108128,,108128,,2223c7124,801,17335,,27051,xe" fillcolor="#211d1f" stroked="f" strokeweight="0">
                <v:stroke miterlimit="83231f" joinstyle="miter"/>
                <v:path arrowok="t" textboxrect="0,0,33617,108128"/>
              </v:shape>
              <v:shape id="Shape 39" o:spid="_x0000_s1050" style="position:absolute;left:9030;top:4858;width:375;height:1074;visibility:visible;mso-wrap-style:square;v-text-anchor:top" coordsize="37503,10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" path="m,l12328,1377v5166,1433,9300,3623,12703,6653c30543,12792,33604,20120,33604,28414v,14160,-9068,23558,-20561,27381l13043,56277v8420,2858,13436,10516,16027,21654c32639,92904,35230,103255,37503,107395r-14580,c21132,104207,18707,95139,15621,81754,14008,74350,11741,69254,8279,65949l,63062,,48794,12855,44789v4274,-3564,6665,-8660,6665,-14788c19520,23074,16967,18095,12552,14829l,11443,,xe" fillcolor="#211d1f" stroked="f" strokeweight="0">
                <v:stroke miterlimit="83231f" joinstyle="miter"/>
                <v:path arrowok="t" textboxrect="0,0,37503,107395"/>
              </v:shape>
              <v:shape id="Shape 40" o:spid="_x0000_s1051" style="position:absolute;left:9511;top:5148;width:345;height:794;visibility:visible;mso-wrap-style:square;v-text-anchor:top" coordsize="34591,7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" path="m34591,r,9820l26297,11766c18384,15894,14615,25059,13767,32345r20824,l34591,42378r-20976,c13774,51853,16932,58542,21833,62863r12758,4288l34591,79432,22353,77297c8115,71774,,58548,,41108,,23668,7837,9006,21394,2766l34591,xe" fillcolor="#211d1f" stroked="f" strokeweight="0">
                <v:stroke miterlimit="83231f" joinstyle="miter"/>
                <v:path arrowok="t" textboxrect="0,0,34591,79432"/>
              </v:shape>
              <v:shape id="Shape 41" o:spid="_x0000_s1052" style="position:absolute;left:9856;top:5799;width:301;height:150;visibility:visible;mso-wrap-style:square;v-text-anchor:top" coordsize="30052,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" path="m27627,r2425,10033c25023,12268,16438,14974,3966,14974l,14282,,2001,5909,3987c16120,3987,22267,2235,27627,xe" fillcolor="#211d1f" stroked="f" strokeweight="0">
                <v:stroke miterlimit="83231f" joinstyle="miter"/>
                <v:path arrowok="t" textboxrect="0,0,30052,14974"/>
              </v:shape>
              <v:shape id="Shape 42" o:spid="_x0000_s1053" style="position:absolute;left:9856;top:5143;width:346;height:429;visibility:visible;mso-wrap-style:square;v-text-anchor:top" coordsize="34586,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" path="m2188,c27779,,34586,22136,34586,36309v,2871,-318,5093,-483,6528l,42837,,32804r20819,c20972,23888,17098,10033,1045,10033l,10278,,459,2188,xe" fillcolor="#211d1f" stroked="f" strokeweight="0">
                <v:stroke miterlimit="83231f" joinstyle="miter"/>
                <v:path arrowok="t" textboxrect="0,0,34586,42837"/>
              </v:shape>
              <v:shape id="Shape 43" o:spid="_x0000_s1054" style="position:absolute;left:10324;top:5143;width:513;height:806;visibility:visible;mso-wrap-style:square;v-text-anchor:top" coordsize="51359,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" path="m29325,v7937,,14909,2222,19291,4775l45034,14974c41961,13056,36297,10503,29007,10503v-8433,,-13119,4775,-13119,10516c15888,27394,20574,30252,30785,34074v13601,5093,20574,11786,20574,23254c51359,70866,40665,80582,22047,80582,13450,80582,5512,78346,,75159l3569,64491v4216,2717,11671,5575,18796,5575c32728,70066,37592,64960,37592,58598v,-6680,-4051,-10351,-14579,-14174c8915,39484,2274,31852,2274,22606,2274,10185,12484,,29325,xe" fillcolor="#211d1f" stroked="f" strokeweight="0">
                <v:stroke miterlimit="83231f" joinstyle="miter"/>
                <v:path arrowok="t" textboxrect="0,0,51359,80582"/>
              </v:shape>
              <v:shape id="Shape 44" o:spid="_x0000_s1055" style="position:absolute;left:10963;top:5148;width:346;height:794;visibility:visible;mso-wrap-style:square;v-text-anchor:top" coordsize="34598,7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" path="m34598,r,9820l26310,11765c18397,15893,14627,25058,13780,32345r20818,l34598,42377r-20983,c13780,51852,16939,58541,21839,62862r12759,4287l34598,79432,22353,77296c8115,71773,,58548,,41108,,23668,7844,9006,21405,2765l34598,xe" fillcolor="#211d1f" stroked="f" strokeweight="0">
                <v:stroke miterlimit="83231f" joinstyle="miter"/>
                <v:path arrowok="t" textboxrect="0,0,34598,79432"/>
              </v:shape>
              <v:shape id="Shape 45" o:spid="_x0000_s1056" style="position:absolute;left:11309;top:5799;width:301;height:150;visibility:visible;mso-wrap-style:square;v-text-anchor:top" coordsize="30058,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" path="m27620,r2438,10033c25029,12268,16444,14974,3959,14974l,14283,,2000,5915,3987c16113,3987,22273,2235,27620,xe" fillcolor="#211d1f" stroked="f" strokeweight="0">
                <v:stroke miterlimit="83231f" joinstyle="miter"/>
                <v:path arrowok="t" textboxrect="0,0,30058,14974"/>
              </v:shape>
              <v:shape id="Shape 46" o:spid="_x0000_s1057" style="position:absolute;left:11309;top:5143;width:346;height:429;visibility:visible;mso-wrap-style:square;v-text-anchor:top" coordsize="34579,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" path="m2194,c27785,,34579,22136,34579,36309v,2871,-318,5093,-483,6528l,42837,,32804r20812,c20977,23888,17091,10033,1051,10033l,10280,,460,2194,xe" fillcolor="#211d1f" stroked="f" strokeweight="0">
                <v:stroke miterlimit="83231f" joinstyle="miter"/>
                <v:path arrowok="t" textboxrect="0,0,34579,42837"/>
              </v:shape>
              <v:shape id="Shape 47" o:spid="_x0000_s1058" style="position:absolute;left:11770;top:5456;width:309;height:493;visibility:visible;mso-wrap-style:square;v-text-anchor:top" coordsize="30855,4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" path="m30855,r,10438l25026,11204c18666,13712,14250,18131,14250,25619v,9080,6146,13372,13448,13372l30855,37978r,9725l23965,49342c8103,49342,,38357,,27206,,13233,9472,4011,26992,343l30855,xe" fillcolor="#211d1f" stroked="f" strokeweight="0">
                <v:stroke miterlimit="83231f" joinstyle="miter"/>
                <v:path arrowok="t" textboxrect="0,0,30855,49342"/>
              </v:shape>
              <v:shape id="Shape 48" o:spid="_x0000_s1059" style="position:absolute;left:11827;top:5145;width:252;height:159;visibility:visible;mso-wrap-style:square;v-text-anchor:top" coordsize="25191,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" path="m25191,r,10516l23661,10213v-7291,,-14910,2222,-20422,5727l,6707,25191,xe" fillcolor="#211d1f" stroked="f" strokeweight="0">
                <v:stroke miterlimit="83231f" joinstyle="miter"/>
                <v:path arrowok="t" textboxrect="0,0,25191,15940"/>
              </v:shape>
              <v:shape id="Shape 49" o:spid="_x0000_s1060" style="position:absolute;left:12079;top:5143;width:317;height:790;visibility:visible;mso-wrap-style:square;v-text-anchor:top" coordsize="31680,7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" path="m565,c24555,,30372,16090,30372,31547r,28816c30372,67056,30702,73584,31680,78829r-12966,l17583,69126r-495,c14904,72149,11703,75012,7651,77121l,78942,,69217,9295,66233v3179,-2406,5367,-5629,6497,-8892c16287,55905,16605,54305,16605,52883r,-13386l,41677,,31239,16287,29794r,-1600c16287,23422,15280,15778,8015,12254l,10666,,150,565,xe" fillcolor="#211d1f" stroked="f" strokeweight="0">
                <v:stroke miterlimit="83231f" joinstyle="miter"/>
                <v:path arrowok="t" textboxrect="0,0,31680,78942"/>
              </v:shape>
              <v:shape id="Shape 50" o:spid="_x0000_s1061" style="position:absolute;left:12606;top:5143;width:394;height:789;visibility:visible;mso-wrap-style:square;v-text-anchor:top" coordsize="39370,7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" path="m35319,v1613,,2756,165,4051,482l39370,13703v-1460,-318,-2908,-483,-4864,-483c24461,13220,17336,20713,15393,31217v-330,1917,-648,4140,-648,6540l14745,78829r-14097,l648,25806c648,16725,495,8915,,1753r12485,l12967,16878r635,c17171,6541,25756,,35319,xe" fillcolor="#211d1f" stroked="f" strokeweight="0">
                <v:stroke miterlimit="83231f" joinstyle="miter"/>
                <v:path arrowok="t" textboxrect="0,0,39370,78829"/>
              </v:shape>
              <v:shape id="Shape 51" o:spid="_x0000_s1062" style="position:absolute;left:13069;top:5145;width:619;height:804;visibility:visible;mso-wrap-style:square;v-text-anchor:top" coordsize="61875,8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" path="m42113,v8433,,15875,2070,19762,3988l58648,14821c55245,12903,49885,11150,42113,11150v-17983,,-27698,13056,-27698,29147c14415,58127,26073,69114,41631,69114v8089,,13436,-2058,17487,-3811l61557,75806v-3722,1918,-11989,4623,-22518,4623c15380,80429,,64503,,40932,,17208,16522,,42113,xe" fillcolor="#211d1f" stroked="f" strokeweight="0">
                <v:stroke miterlimit="83231f" joinstyle="miter"/>
                <v:path arrowok="t" textboxrect="0,0,61875,80429"/>
              </v:shape>
              <v:shape id="Shape 52" o:spid="_x0000_s1063" style="position:absolute;left:13851;top:4801;width:668;height:1131;visibility:visible;mso-wrap-style:square;v-text-anchor:top" coordsize="66739,1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" path="m,l14262,r,48095l14580,48095v2273,-3988,5829,-7493,10211,-9881c29007,35826,34024,34239,39370,34239v10529,,27369,6363,27369,32957l66739,113068r-14250,l52489,68796v,-12420,-4699,-22936,-18135,-22936c25108,45860,17818,52235,15240,59881v-825,1904,-978,3975,-978,6680l14262,113068,,113068,,xe" fillcolor="#211d1f" stroked="f" strokeweight="0">
                <v:stroke miterlimit="83231f" joinstyle="miter"/>
                <v:path arrowok="t" textboxrect="0,0,66739,113068"/>
              </v:shape>
              <v:shape id="Shape 53" o:spid="_x0000_s1064" style="position:absolute;left:15034;top:4841;width:829;height:1108;visibility:visible;mso-wrap-style:square;v-text-anchor:top" coordsize="82944,11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" path="m57035,c70638,,79222,2857,82944,4763l79553,16078c74206,13526,66598,11620,57531,11620v-25603,,-42621,16078,-42621,44273c14910,82169,30302,99047,56870,99047v8586,,17336,-1752,23013,-4457l82791,105575v-5194,2553,-15545,5258,-28829,5258c23177,110833,,91567,,56362,,22758,23177,,57035,xe" fillcolor="#211d1f" stroked="f" strokeweight="0">
                <v:stroke miterlimit="83231f" joinstyle="miter"/>
                <v:path arrowok="t" textboxrect="0,0,82944,110833"/>
              </v:shape>
              <v:shape id="Shape 54" o:spid="_x0000_s1065" style="position:absolute;left:15960;top:5148;width:346;height:794;visibility:visible;mso-wrap-style:square;v-text-anchor:top" coordsize="34597,7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" path="m34597,r,9820l26298,11767c18389,15895,14626,25060,13779,32347r20818,l34597,42380r-20983,c13779,51854,16938,58544,21837,62864r12760,4290l34597,79434,22352,77298c8115,71775,,58550,,41110,,23670,7844,9008,21399,2767l34597,xe" fillcolor="#211d1f" stroked="f" strokeweight="0">
                <v:stroke miterlimit="83231f" joinstyle="miter"/>
                <v:path arrowok="t" textboxrect="0,0,34597,79434"/>
              </v:shape>
              <v:shape id="Shape 55" o:spid="_x0000_s1066" style="position:absolute;left:16306;top:5799;width:301;height:150;visibility:visible;mso-wrap-style:square;v-text-anchor:top" coordsize="30045,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" path="m27620,r2425,10033c25029,12268,16432,14974,3959,14974l,14283,,2003,5903,3987c16114,3987,22273,2235,27620,xe" fillcolor="#211d1f" stroked="f" strokeweight="0">
                <v:stroke miterlimit="83231f" joinstyle="miter"/>
                <v:path arrowok="t" textboxrect="0,0,30045,14974"/>
              </v:shape>
              <v:shape id="Shape 56" o:spid="_x0000_s1067" style="position:absolute;left:16306;top:5143;width:346;height:429;visibility:visible;mso-wrap-style:square;v-text-anchor:top" coordsize="34579,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" path="m2182,c27785,,34579,22136,34579,36309v,2871,-330,5093,-482,6528l,42837,,32804r20813,c20978,23888,17079,10033,1039,10033l,10278,,457,2182,xe" fillcolor="#211d1f" stroked="f" strokeweight="0">
                <v:stroke miterlimit="83231f" joinstyle="miter"/>
                <v:path arrowok="t" textboxrect="0,0,34579,42837"/>
              </v:shape>
              <v:shape id="Shape 57" o:spid="_x0000_s1068" style="position:absolute;left:16822;top:5143;width:674;height:789;visibility:visible;mso-wrap-style:square;v-text-anchor:top" coordsize="67387,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" path="m39688,c50547,,67387,6376,67387,32817r,46025l53137,78842r,-44438c53137,21984,48438,11633,34989,11633v-9398,,-16688,6528,-19114,14326c15228,27711,14898,30099,14898,32500r,46342l648,78842r,-56223c648,14656,483,8128,,1753r12636,l13437,14504r330,c17653,7176,26721,,39688,xe" fillcolor="#211d1f" stroked="f" strokeweight="0">
                <v:stroke miterlimit="83231f" joinstyle="miter"/>
                <v:path arrowok="t" textboxrect="0,0,67387,78842"/>
              </v:shape>
              <v:shape id="Shape 58" o:spid="_x0000_s1069" style="position:absolute;left:17633;top:4976;width:466;height:973;visibility:visible;mso-wrap-style:square;v-text-anchor:top" coordsize="46507,9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" path="m26086,r,18466l46507,18466r,10668l26086,29134r,41567c26086,80264,28829,85674,36779,85674v3887,,6160,-317,8255,-952l45682,95238v-2743,1117,-7125,2069,-12624,2069c26404,97307,21057,95072,17666,91249,13615,87109,12154,80264,12154,71183r,-42049l,29134,,18466r12154,l12154,4293,26086,xe" fillcolor="#211d1f" stroked="f" strokeweight="0">
                <v:stroke miterlimit="83231f" joinstyle="miter"/>
                <v:path arrowok="t" textboxrect="0,0,46507,97307"/>
              </v:shape>
              <v:shape id="Shape 59" o:spid="_x0000_s1070" style="position:absolute;left:18252;top:5143;width:394;height:789;visibility:visible;mso-wrap-style:square;v-text-anchor:top" coordsize="39357,7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" path="m35319,v1613,,2756,165,4038,482l39357,13703v-1447,-318,-2908,-483,-4864,-483c24461,13220,17336,20713,15380,31217v-317,1917,-635,4140,-635,6540l14745,78829r-14097,l648,25806c648,16725,483,8915,,1753r12472,l12954,16878r648,c17171,6541,25743,,35319,xe" fillcolor="#211d1f" stroked="f" strokeweight="0">
                <v:stroke miterlimit="83231f" joinstyle="miter"/>
                <v:path arrowok="t" textboxrect="0,0,39357,78829"/>
              </v:shape>
              <v:shape id="Shape 60" o:spid="_x0000_s1071" style="position:absolute;left:18717;top:5148;width:346;height:794;visibility:visible;mso-wrap-style:square;v-text-anchor:top" coordsize="34596,7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" path="m34596,r,9820l26297,11767c18384,15895,14618,25060,13779,32347r20817,l34596,42380r-20982,c13779,51854,16939,58544,21837,62864r12759,4290l34596,79434,22352,77298c8115,71775,,58550,,41110,,23670,7844,9008,21399,2767l34596,xe" fillcolor="#211d1f" stroked="f" strokeweight="0">
                <v:stroke miterlimit="83231f" joinstyle="miter"/>
                <v:path arrowok="t" textboxrect="0,0,34596,79434"/>
              </v:shape>
              <v:shape id="Shape 61" o:spid="_x0000_s1072" style="position:absolute;left:19063;top:5799;width:300;height:150;visibility:visible;mso-wrap-style:square;v-text-anchor:top" coordsize="30046,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" path="m27621,r2425,10033c25029,12268,16432,14974,3960,14974l,14283,,2003,5904,3987c16115,3987,22261,2235,27621,xe" fillcolor="#211d1f" stroked="f" strokeweight="0">
                <v:stroke miterlimit="83231f" joinstyle="miter"/>
                <v:path arrowok="t" textboxrect="0,0,30046,14974"/>
              </v:shape>
              <v:shape id="Shape 62" o:spid="_x0000_s1073" style="position:absolute;left:19063;top:5143;width:346;height:429;visibility:visible;mso-wrap-style:square;v-text-anchor:top" coordsize="34580,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" path="m2183,c27786,,34580,22136,34580,36309v,2871,-330,5093,-482,6528l,42837,,32804r20813,c20966,23888,17080,10033,1039,10033l,10278,,457,2183,xe" fillcolor="#211d1f" stroked="f" strokeweight="0">
                <v:stroke miterlimit="83231f" joinstyle="miter"/>
                <v:path arrowok="t" textboxrect="0,0,34580,42837"/>
              </v:shape>
              <v:shape id="Shape 63" o:spid="_x0000_s1074" style="position:absolute;top:4840;width:660;height:1109;visibility:visible;mso-wrap-style:square;v-text-anchor:top" coordsize="66089,11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" path="m37590,c48754,,56856,2566,61720,5271l57822,16573c54266,14669,46976,11481,37095,11481v-14897,,-20561,8763,-20561,16079c16534,37605,23163,42545,38238,48260v18466,7010,27851,15799,27851,31547c66089,96380,53618,110872,27862,110872v-5264,,-10772,-797,-15694,-2071l,103874r,-5l3567,92228v6325,3835,15545,7010,25260,7010c43255,99238,51675,91758,51675,80925v,-10033,-5830,-15761,-20574,-21349c13270,53378,2284,44310,2284,29159,2284,12421,16356,,37590,xe" fillcolor="#211d1f" stroked="f" strokeweight="0">
                <v:stroke miterlimit="83231f" joinstyle="miter"/>
                <v:path arrowok="t" textboxrect="0,0,66089,110872"/>
              </v:shape>
              <v:shape id="Shape 64" o:spid="_x0000_s1075" style="position:absolute;left:801;top:5144;width:383;height:805;visibility:visible;mso-wrap-style:square;v-text-anchor:top" coordsize="38227,8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" path="m38227,r,10462l27665,13004c18508,17991,14415,29340,14415,40332v,16878,9880,29616,23812,29616l38227,80355r-648,109c16358,80464,,65186,,40815,,21469,9658,8117,23644,2650l38227,xe" fillcolor="#211d1f" stroked="f" strokeweight="0">
                <v:stroke miterlimit="83231f" joinstyle="miter"/>
                <v:path arrowok="t" textboxrect="0,0,38227,80464"/>
              </v:shape>
              <v:shape id="Shape 65" o:spid="_x0000_s1076" style="position:absolute;left:1184;top:5143;width:383;height:805;visibility:visible;mso-wrap-style:square;v-text-anchor:top" coordsize="38379,8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" path="m648,c23152,,38379,16091,38379,39650v,21392,-11294,33721,-24935,38548l,80473,,70066v13601,,23813,-12573,23813,-29947c23813,27063,17183,10503,317,10503l,10580,,118,648,xe" fillcolor="#211d1f" stroked="f" strokeweight="0">
                <v:stroke miterlimit="83231f" joinstyle="miter"/>
                <v:path arrowok="t" textboxrect="0,0,38379,80473"/>
              </v:shape>
              <v:shape id="Shape 66" o:spid="_x0000_s1077" style="position:absolute;left:1691;top:5145;width:618;height:804;visibility:visible;mso-wrap-style:square;v-text-anchor:top" coordsize="61862,8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" path="m42113,v8420,,15863,2070,19749,3988l58636,14808c55245,12904,49886,11151,42113,11151v-17970,,-27698,13068,-27698,29147c14415,58116,26073,69127,41630,69127v8091,,13424,-2058,17488,-3823l61557,75819v-3747,1918,-12001,4623,-22530,4623c15392,80442,,64504,,40945,,17209,16523,,42113,xe" fillcolor="#211d1f" stroked="f" strokeweight="0">
                <v:stroke miterlimit="83231f" joinstyle="miter"/>
                <v:path arrowok="t" textboxrect="0,0,61862,80442"/>
              </v:shape>
              <v:shape id="Shape 38236" o:spid="_x0000_s1078" style="position:absolute;left:2473;top:5161;width:142;height:771;visibility:visible;mso-wrap-style:square;v-text-anchor:top" coordsize="14262,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" path="m,l14262,r,77088l,77088,,e" fillcolor="#211d1f" stroked="f" strokeweight="0">
                <v:stroke miterlimit="83231f" joinstyle="miter"/>
                <v:path arrowok="t" textboxrect="0,0,14262,77088"/>
              </v:shape>
              <v:shape id="Shape 68" o:spid="_x0000_s1079" style="position:absolute;left:2455;top:4856;width:178;height:174;visibility:visible;mso-wrap-style:square;v-text-anchor:top" coordsize="17818,1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" path="m8915,v5347,,8738,3811,8738,8764c17818,13551,14262,17361,8585,17361,3556,17361,,13551,,8764,,3811,3721,,8915,xe" fillcolor="#211d1f" stroked="f" strokeweight="0">
                <v:stroke miterlimit="83231f" joinstyle="miter"/>
                <v:path arrowok="t" textboxrect="0,0,17818,17361"/>
              </v:shape>
              <v:shape id="Shape 69" o:spid="_x0000_s1080" style="position:absolute;left:2790;top:5455;width:309;height:494;visibility:visible;mso-wrap-style:square;v-text-anchor:top" coordsize="30861,4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" path="m30861,r,10456l25027,11223c18666,13733,14250,18152,14250,25633v,9080,6172,13386,13449,13386l30861,38002r,9724l23965,49369c8103,49369,,38358,,27221,,13247,9480,4025,26998,346l30861,xe" fillcolor="#211d1f" stroked="f" strokeweight="0">
                <v:stroke miterlimit="83231f" joinstyle="miter"/>
                <v:path arrowok="t" textboxrect="0,0,30861,49369"/>
              </v:shape>
              <v:shape id="Shape 70" o:spid="_x0000_s1081" style="position:absolute;left:2847;top:5145;width:252;height:159;visibility:visible;mso-wrap-style:square;v-text-anchor:top" coordsize="25184,1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" path="m25184,r,10516l23660,10215v-7302,,-14923,2210,-20421,5727l,6684,25184,xe" fillcolor="#211d1f" stroked="f" strokeweight="0">
                <v:stroke miterlimit="83231f" joinstyle="miter"/>
                <v:path arrowok="t" textboxrect="0,0,25184,15942"/>
              </v:shape>
              <v:shape id="Shape 71" o:spid="_x0000_s1082" style="position:absolute;left:3099;top:5143;width:317;height:790;visibility:visible;mso-wrap-style:square;v-text-anchor:top" coordsize="31674,7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" path="m559,c24536,,30366,16090,30366,31534r,28829c30366,67056,30683,73596,31674,78841r-12979,l17577,69126r-483,c14904,72148,11703,75016,7652,77126l,78950,,69226,9294,66238v3178,-2411,5362,-5640,6492,-8910c16282,55905,16612,54305,16612,52870r,-13373l,41680,,31224,16282,29769r,-1588c16282,23419,15282,15777,8020,12254l,10664,,148,559,xe" fillcolor="#211d1f" stroked="f" strokeweight="0">
                <v:stroke miterlimit="83231f" joinstyle="miter"/>
                <v:path arrowok="t" textboxrect="0,0,31674,78950"/>
              </v:shape>
              <v:shape id="Shape 38237" o:spid="_x0000_s1083" style="position:absolute;left:3633;top:4801;width:142;height:1131;visibility:visible;mso-wrap-style:square;v-text-anchor:top" coordsize="14250,11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" path="m,l14250,r,113094l,113094,,e" fillcolor="#211d1f" stroked="f" strokeweight="0">
                <v:stroke miterlimit="83231f" joinstyle="miter"/>
                <v:path arrowok="t" textboxrect="0,0,14250,113094"/>
              </v:shape>
              <v:shape id="Shape 73" o:spid="_x0000_s1084" style="position:absolute;left:4363;top:4850;width:336;height:1082;visibility:visible;mso-wrap-style:square;v-text-anchor:top" coordsize="33604,1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" path="m27051,r6553,836l33604,12717,27368,10985v-6146,,-10833,470,-13284,1131l14084,53835v3086,800,6972,1117,11672,1117l33604,52639r,12181l25438,66091v-4216,,-8103,-140,-11354,-966l14084,108153,,108153,,2083c6820,953,15723,,27051,xe" fillcolor="#211d1f" stroked="f" strokeweight="0">
                <v:stroke miterlimit="83231f" joinstyle="miter"/>
                <v:path arrowok="t" textboxrect="0,0,33604,108153"/>
              </v:shape>
              <v:shape id="Shape 74" o:spid="_x0000_s1085" style="position:absolute;left:4699;top:4858;width:336;height:640;visibility:visible;mso-wrap-style:square;v-text-anchor:top" coordsize="33617,6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" path="m,l11546,1474v5101,1512,9269,3741,12508,6605c30048,13184,33617,20982,33617,30545v,9703,-2921,17348,-8420,22924c21476,57374,16573,60320,10882,62291l,63984,,51802,12213,48202v4716,-3884,7307,-9618,7307,-17022c19520,24087,16971,18830,12476,15345l,11881,,xe" fillcolor="#211d1f" stroked="f" strokeweight="0">
                <v:stroke miterlimit="83231f" joinstyle="miter"/>
                <v:path arrowok="t" textboxrect="0,0,33617,63984"/>
              </v:shape>
              <v:shape id="Shape 75" o:spid="_x0000_s1086" style="position:absolute;left:5123;top:5144;width:382;height:805;visibility:visible;mso-wrap-style:square;v-text-anchor:top" coordsize="38227,8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" path="m38227,r,10462l27672,13004c18521,17991,14427,29340,14427,40332v,16878,9868,29616,23800,29616l38227,80355r-648,109c16358,80464,,65186,,40815,,21469,9658,8117,23644,2650l38227,xe" fillcolor="#211d1f" stroked="f" strokeweight="0">
                <v:stroke miterlimit="83231f" joinstyle="miter"/>
                <v:path arrowok="t" textboxrect="0,0,38227,80464"/>
              </v:shape>
              <v:shape id="Shape 76" o:spid="_x0000_s1087" style="position:absolute;left:5505;top:5143;width:384;height:805;visibility:visible;mso-wrap-style:square;v-text-anchor:top" coordsize="38379,8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" path="m648,c23165,,38379,16091,38379,39650v,21392,-11294,33721,-24935,38548l,80473,,70066v13601,,23800,-12573,23800,-29947c23800,27063,17170,10503,317,10503l,10580,,118,648,xe" fillcolor="#211d1f" stroked="f" strokeweight="0">
                <v:stroke miterlimit="83231f" joinstyle="miter"/>
                <v:path arrowok="t" textboxrect="0,0,38379,80473"/>
              </v:shape>
              <v:shape id="Shape 38238" o:spid="_x0000_s1088" style="position:absolute;left:6069;top:4801;width:142;height:1131;visibility:visible;mso-wrap-style:square;v-text-anchor:top" coordsize="14250,11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" path="m,l14250,r,113094l,113094,,e" fillcolor="#211d1f" stroked="f" strokeweight="0">
                <v:stroke miterlimit="83231f" joinstyle="miter"/>
                <v:path arrowok="t" textboxrect="0,0,14250,113094"/>
              </v:shape>
              <v:shape id="Shape 38239" o:spid="_x0000_s1089" style="position:absolute;left:6451;top:5161;width:143;height:771;visibility:visible;mso-wrap-style:square;v-text-anchor:top" coordsize="14262,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" path="m,l14262,r,77088l,77088,,e" fillcolor="#211d1f" stroked="f" strokeweight="0">
                <v:stroke miterlimit="83231f" joinstyle="miter"/>
                <v:path arrowok="t" textboxrect="0,0,14262,77088"/>
              </v:shape>
              <v:shape id="Shape 79" o:spid="_x0000_s1090" style="position:absolute;left:6433;top:4856;width:178;height:174;visibility:visible;mso-wrap-style:square;v-text-anchor:top" coordsize="17818,1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" path="m8915,v5360,,8751,3811,8751,8764c17818,13551,14275,17361,8598,17361,3569,17361,,13551,,8764,,3811,3734,,8915,xe" fillcolor="#211d1f" stroked="f" strokeweight="0">
                <v:stroke miterlimit="83231f" joinstyle="miter"/>
                <v:path arrowok="t" textboxrect="0,0,17818,17361"/>
              </v:shape>
              <v:shape id="Shape 80" o:spid="_x0000_s1091" style="position:absolute;left:6773;top:5145;width:619;height:804;visibility:visible;mso-wrap-style:square;v-text-anchor:top" coordsize="61875,8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" path="m42126,v8407,,15862,2070,19749,3988l58636,14808c55232,12904,49898,11151,42126,11151v-17983,,-27711,13068,-27711,29147c14415,58116,26073,69127,41630,69127v8103,,13450,-2058,17488,-3823l61557,75819v-3747,1918,-12001,4623,-22517,4623c15392,80442,,64504,,40945,,17209,16523,,42126,xe" fillcolor="#211d1f" stroked="f" strokeweight="0">
                <v:stroke miterlimit="83231f" joinstyle="miter"/>
                <v:path arrowok="t" textboxrect="0,0,61875,80442"/>
              </v:shape>
              <v:shape id="Shape 81" o:spid="_x0000_s1092" style="position:absolute;left:7481;top:5161;width:737;height:1123;visibility:visible;mso-wrap-style:square;v-text-anchor:top" coordsize="73698,11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" path="m,l15558,,32715,45568v1791,5067,3721,11125,5017,15748l38062,61316v1448,-4623,3073,-10504,5016,-16092l58636,,73698,,52324,54953c42126,81394,35154,94920,25426,103213v-6960,6045,-13920,8445,-17501,9080l4369,100508v3556,-1144,8255,-3353,12471,-6858c20726,90627,25591,85217,28829,78029v660,-1410,1130,-2515,1130,-3327c29959,73914,29642,72784,28994,71018l,xe" fillcolor="#211d1f" stroked="f" strokeweight="0">
                <v:stroke miterlimit="83231f" joinstyle="miter"/>
                <v:path arrowok="t" textboxrect="0,0,73698,112293"/>
              </v:shape>
              <v:shape id="Shape 82" o:spid="_x0000_s1093" style="position:absolute;left:8696;top:4850;width:336;height:1082;visibility:visible;mso-wrap-style:square;v-text-anchor:top" coordsize="33611,1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" path="m27064,r6547,729l33611,12185,28016,10681v-6807,,-11658,622,-13919,1257l14097,51130r14414,l33611,49540r,14266l27368,61633r-13271,l14097,108153,,108153,,2222c7125,788,17335,,27064,xe" fillcolor="#211d1f" stroked="f" strokeweight="0">
                <v:stroke miterlimit="83231f" joinstyle="miter"/>
                <v:path arrowok="t" textboxrect="0,0,33611,108153"/>
              </v:shape>
              <v:shape id="Shape 83" o:spid="_x0000_s1094" style="position:absolute;left:9032;top:4857;width:375;height:1075;visibility:visible;mso-wrap-style:square;v-text-anchor:top" coordsize="37497,10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" path="m,l12328,1374v5160,1430,9287,3618,12684,6646c30537,12796,33610,20137,33610,28404v,14199,-9080,23584,-20574,27394l13036,56293v8420,2871,13462,10504,16028,21667c32645,92920,35223,103270,37497,107424r-14580,c21126,104236,18700,95168,15627,81769,14008,74359,11741,69263,8279,65960l,63077,,48811,12855,44802v4271,-3567,6659,-8669,6659,-14810c19514,23070,16967,18095,12555,14832l,11456,,xe" fillcolor="#211d1f" stroked="f" strokeweight="0">
                <v:stroke miterlimit="83231f" joinstyle="miter"/>
                <v:path arrowok="t" textboxrect="0,0,37497,107424"/>
              </v:shape>
              <v:shape id="Shape 84" o:spid="_x0000_s1095" style="position:absolute;left:9512;top:5148;width:346;height:794;visibility:visible;mso-wrap-style:square;v-text-anchor:top" coordsize="34585,7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" path="m34585,r,9808l26299,11754c18389,15885,14624,25057,13767,32345r20818,l34585,42377r-20984,c13767,51857,16926,58544,21826,62861r12759,4279l34585,79431,22342,77295c8108,71773,,58548,,41108,,23667,7837,9006,21394,2765l34585,xe" fillcolor="#211d1f" stroked="f" strokeweight="0">
                <v:stroke miterlimit="83231f" joinstyle="miter"/>
                <v:path arrowok="t" textboxrect="0,0,34585,79431"/>
              </v:shape>
              <v:shape id="Shape 85" o:spid="_x0000_s1096" style="position:absolute;left:9858;top:5799;width:300;height:150;visibility:visible;mso-wrap-style:square;v-text-anchor:top" coordsize="30033,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" path="m27620,r2413,10046c25016,12281,16431,14974,3960,14974l,14283,,1992,5916,3976c16114,3976,22273,2236,27620,xe" fillcolor="#211d1f" stroked="f" strokeweight="0">
                <v:stroke miterlimit="83231f" joinstyle="miter"/>
                <v:path arrowok="t" textboxrect="0,0,30033,14974"/>
              </v:shape>
              <v:shape id="Shape 86" o:spid="_x0000_s1097" style="position:absolute;left:9858;top:5143;width:346;height:429;visibility:visible;mso-wrap-style:square;v-text-anchor:top" coordsize="34579,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" path="m2194,c27785,,34579,22136,34579,36296v,2871,-330,5119,-482,6541l,42837,,32804r20813,c20978,23888,17079,10020,1051,10020l,10268,,460,2194,xe" fillcolor="#211d1f" stroked="f" strokeweight="0">
                <v:stroke miterlimit="83231f" joinstyle="miter"/>
                <v:path arrowok="t" textboxrect="0,0,34579,42837"/>
              </v:shape>
              <v:shape id="Shape 87" o:spid="_x0000_s1098" style="position:absolute;left:10325;top:5143;width:514;height:806;visibility:visible;mso-wrap-style:square;v-text-anchor:top" coordsize="51346,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" path="m29324,v7938,,14897,2210,19266,4763l45034,14960c41961,13056,36284,10503,28994,10503v-8433,,-13119,4775,-13119,10516c15875,27394,20561,30252,30772,34074v13614,5093,20574,11786,20574,23254c51346,70879,40653,80582,22047,80582,13449,80582,5512,78372,,75171l3569,64503v4203,2705,11658,5563,18783,5563c32728,70066,37567,64974,37567,58598v,-6680,-4039,-10351,-14567,-14160c8915,39497,2273,31839,2273,22606,2273,10185,12484,,29324,xe" fillcolor="#211d1f" stroked="f" strokeweight="0">
                <v:stroke miterlimit="83231f" joinstyle="miter"/>
                <v:path arrowok="t" textboxrect="0,0,51346,80582"/>
              </v:shape>
              <v:shape id="Shape 88" o:spid="_x0000_s1099" style="position:absolute;left:10965;top:5148;width:346;height:794;visibility:visible;mso-wrap-style:square;v-text-anchor:top" coordsize="34584,7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" path="m34584,r,9810l26293,11757c18382,15887,14624,25060,13767,32347r20817,l34584,42380r-20982,c13761,51860,16916,58547,21815,62863r12769,4283l34584,79433,22342,77298c8108,71775,,58550,,41110,,23669,7830,9008,21383,2767l34584,xe" fillcolor="#211d1f" stroked="f" strokeweight="0">
                <v:stroke miterlimit="83231f" joinstyle="miter"/>
                <v:path arrowok="t" textboxrect="0,0,34584,79433"/>
              </v:shape>
              <v:shape id="Shape 89" o:spid="_x0000_s1100" style="position:absolute;left:11311;top:5799;width:300;height:150;visibility:visible;mso-wrap-style:square;v-text-anchor:top" coordsize="30033,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" path="m27620,r2413,10046c25004,12281,16432,14974,3960,14974l,14283,,1996,5904,3976c16114,3976,22248,2236,27620,xe" fillcolor="#211d1f" stroked="f" strokeweight="0">
                <v:stroke miterlimit="83231f" joinstyle="miter"/>
                <v:path arrowok="t" textboxrect="0,0,30033,14974"/>
              </v:shape>
              <v:shape id="Shape 90" o:spid="_x0000_s1101" style="position:absolute;left:11311;top:5143;width:346;height:429;visibility:visible;mso-wrap-style:square;v-text-anchor:top" coordsize="34567,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" path="m2182,c27773,,34567,22136,34567,36296v,2871,-317,5119,-482,6541l,42837,,32804r20813,c20966,23888,17080,10020,1052,10020l,10268,,457,2182,xe" fillcolor="#211d1f" stroked="f" strokeweight="0">
                <v:stroke miterlimit="83231f" joinstyle="miter"/>
                <v:path arrowok="t" textboxrect="0,0,34567,42837"/>
              </v:shape>
              <v:shape id="Shape 91" o:spid="_x0000_s1102" style="position:absolute;left:11772;top:5455;width:308;height:494;visibility:visible;mso-wrap-style:square;v-text-anchor:top" coordsize="30861,4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" path="m30861,r,10457l25032,11224c18675,13734,14262,18153,14262,25634v,9080,6147,13385,13437,13385l30861,38002r,9724l23965,49370c8090,49370,,38359,,27222,,13248,9472,4025,26988,346l30861,xe" fillcolor="#211d1f" stroked="f" strokeweight="0">
                <v:stroke miterlimit="83231f" joinstyle="miter"/>
                <v:path arrowok="t" textboxrect="0,0,30861,49370"/>
              </v:shape>
              <v:shape id="Shape 92" o:spid="_x0000_s1103" style="position:absolute;left:11828;top:5145;width:252;height:159;visibility:visible;mso-wrap-style:square;v-text-anchor:top" coordsize="25197,1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" path="m25197,r,10522l23647,10215v-7289,,-14909,2210,-20395,5727l,6684,25197,xe" fillcolor="#211d1f" stroked="f" strokeweight="0">
                <v:stroke miterlimit="83231f" joinstyle="miter"/>
                <v:path arrowok="t" textboxrect="0,0,25197,15942"/>
              </v:shape>
              <v:shape id="Shape 93" o:spid="_x0000_s1104" style="position:absolute;left:12080;top:5143;width:317;height:790;visibility:visible;mso-wrap-style:square;v-text-anchor:top" coordsize="31648,78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" path="m559,c24524,,30353,16090,30353,31534r,28829c30353,67056,30696,73596,31648,78841r-12954,l17564,69126r-495,c14891,72148,11694,75016,7644,77126l,78949,,69225,9278,66238v3175,-2411,5359,-5640,6495,-8910c16269,55905,16599,54305,16599,52870r,-13373l,41680,,31224,16269,29769r,-1588c16269,23419,15269,15777,8002,12254l,10670,,148,559,xe" fillcolor="#211d1f" stroked="f" strokeweight="0">
                <v:stroke miterlimit="83231f" joinstyle="miter"/>
                <v:path arrowok="t" textboxrect="0,0,31648,78949"/>
              </v:shape>
              <v:shape id="Shape 94" o:spid="_x0000_s1105" style="position:absolute;left:12608;top:5143;width:393;height:789;visibility:visible;mso-wrap-style:square;v-text-anchor:top" coordsize="39357,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" path="m35306,v1626,,2769,153,4051,470l39357,13691v-1460,-317,-2920,-470,-4864,-470c24448,13221,17323,20675,15393,31204v-330,1918,-661,4153,-661,6540l14732,78842r-14084,l648,25794c648,16726,483,8903,,1753r12472,l12954,16878r648,c17171,6528,25756,,35306,xe" fillcolor="#211d1f" stroked="f" strokeweight="0">
                <v:stroke miterlimit="83231f" joinstyle="miter"/>
                <v:path arrowok="t" textboxrect="0,0,39357,78842"/>
              </v:shape>
              <v:shape id="Shape 95" o:spid="_x0000_s1106" style="position:absolute;left:13071;top:5145;width:618;height:804;visibility:visible;mso-wrap-style:square;v-text-anchor:top" coordsize="61862,8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" path="m42101,v8432,,15875,2070,19761,3988l58624,14808c55232,12904,49873,11151,42101,11151v-17971,,-27686,13068,-27686,29147c14415,58116,26074,69127,41618,69127v8103,,13437,-2058,17501,-3823l61544,75819v-3734,1918,-11988,4623,-22516,4623c15380,80442,,64504,,40945,,17209,16523,,42101,xe" fillcolor="#211d1f" stroked="f" strokeweight="0">
                <v:stroke miterlimit="83231f" joinstyle="miter"/>
                <v:path arrowok="t" textboxrect="0,0,61862,80442"/>
              </v:shape>
              <v:shape id="Shape 96" o:spid="_x0000_s1107" style="position:absolute;left:13853;top:4801;width:668;height:1131;visibility:visible;mso-wrap-style:square;v-text-anchor:top" coordsize="66739,11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" path="m,l14262,r,48095l14580,48095v2260,-3975,5829,-7494,10211,-9869c28994,35839,34010,34251,39357,34251v10542,,27382,6350,27382,32957l66739,113093r-14250,l52489,68808v,-12421,-4699,-22949,-18148,-22949c25121,45859,17831,52235,15227,59892v-800,1918,-965,3989,-965,6681l14262,113093,,113093,,xe" fillcolor="#211d1f" stroked="f" strokeweight="0">
                <v:stroke miterlimit="83231f" joinstyle="miter"/>
                <v:path arrowok="t" textboxrect="0,0,66739,113093"/>
              </v:shape>
              <v:shape id="Shape 97" o:spid="_x0000_s1108" style="position:absolute;left:15035;top:4840;width:830;height:1109;visibility:visible;mso-wrap-style:square;v-text-anchor:top" coordsize="82944,1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" path="m57036,c70624,,79222,2883,82944,4776l79540,16078c74206,13551,66586,11646,57506,11646v-25603,,-42609,16078,-42609,44272c14897,82194,30290,99085,56858,99085v8585,,17348,-1752,23012,-4470l82779,105614v-5182,2552,-15545,5244,-28842,5244c23178,110858,,91593,,56388,,22784,23178,,57036,xe" fillcolor="#211d1f" stroked="f" strokeweight="0">
                <v:stroke miterlimit="83231f" joinstyle="miter"/>
                <v:path arrowok="t" textboxrect="0,0,82944,110858"/>
              </v:shape>
              <v:shape id="Shape 98" o:spid="_x0000_s1109" style="position:absolute;left:15960;top:5148;width:346;height:794;visibility:visible;mso-wrap-style:square;v-text-anchor:top" coordsize="34585,7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" path="m34585,r,9807l26287,11757c18377,15887,14615,25060,13767,32347r20818,l34585,42380r-20970,c13774,51860,16929,58547,21829,62863r12756,4279l34585,79433,22342,77298c8108,71775,,58550,,41110,,23669,7837,9008,21389,2767l34585,xe" fillcolor="#211d1f" stroked="f" strokeweight="0">
                <v:stroke miterlimit="83231f" joinstyle="miter"/>
                <v:path arrowok="t" textboxrect="0,0,34585,79433"/>
              </v:shape>
              <v:shape id="Shape 99" o:spid="_x0000_s1110" style="position:absolute;left:16306;top:5799;width:301;height:150;visibility:visible;mso-wrap-style:square;v-text-anchor:top" coordsize="30046,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" path="m27620,r2426,10046c25029,12281,16432,14974,3960,14974l,14283,,1991,5916,3976c16114,3976,22261,2236,27620,xe" fillcolor="#211d1f" stroked="f" strokeweight="0">
                <v:stroke miterlimit="83231f" joinstyle="miter"/>
                <v:path arrowok="t" textboxrect="0,0,30046,14974"/>
              </v:shape>
              <v:shape id="Shape 100" o:spid="_x0000_s1111" style="position:absolute;left:16306;top:5143;width:346;height:429;visibility:visible;mso-wrap-style:square;v-text-anchor:top" coordsize="34580,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" path="m2182,c27773,,34580,22136,34580,36296v,2871,-330,5119,-483,6541l,42837,,32804r20813,c20978,23888,17079,10020,1039,10020l,10264,,457,2182,xe" fillcolor="#211d1f" stroked="f" strokeweight="0">
                <v:stroke miterlimit="83231f" joinstyle="miter"/>
                <v:path arrowok="t" textboxrect="0,0,34580,42837"/>
              </v:shape>
              <v:shape id="Shape 101" o:spid="_x0000_s1112" style="position:absolute;left:16822;top:5143;width:674;height:789;visibility:visible;mso-wrap-style:square;v-text-anchor:top" coordsize="67374,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" path="m39688,c50533,,67374,6350,67374,32804r,46038l53125,78842r,-44438c53125,21971,48438,11608,34989,11608v-9398,,-16701,6553,-19114,14351c15228,27711,14910,30099,14910,32486r,46356l648,78842r,-56223c648,14643,471,8128,,1753r12636,l13437,14478r330,c17653,7163,26708,,39688,xe" fillcolor="#211d1f" stroked="f" strokeweight="0">
                <v:stroke miterlimit="83231f" joinstyle="miter"/>
                <v:path arrowok="t" textboxrect="0,0,67374,78842"/>
              </v:shape>
              <v:shape id="Shape 102" o:spid="_x0000_s1113" style="position:absolute;left:17632;top:4976;width:465;height:973;visibility:visible;mso-wrap-style:square;v-text-anchor:top" coordsize="46494,9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" path="m26085,r,18479l46494,18479r,10667l26085,29146r,41568c26085,80276,28842,85687,36779,85687v3886,,6159,-318,8268,-953l45682,95250v-2744,1105,-7125,2057,-12637,2057c26415,97307,21069,95098,17666,91249,13614,87122,12154,80276,12154,71184r,-42038l,29146,,18479r12154,l12154,4293,26085,xe" fillcolor="#211d1f" stroked="f" strokeweight="0">
                <v:stroke miterlimit="83231f" joinstyle="miter"/>
                <v:path arrowok="t" textboxrect="0,0,46494,97307"/>
              </v:shape>
              <v:shape id="Shape 103" o:spid="_x0000_s1114" style="position:absolute;left:18251;top:5143;width:393;height:789;visibility:visible;mso-wrap-style:square;v-text-anchor:top" coordsize="39344,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" path="m35306,v1613,,2756,153,4038,470l39344,13691v-1447,-317,-2895,-470,-4851,-470c24460,13221,17335,20675,15380,31204v-318,1918,-648,4153,-648,6540l14732,78842r-14097,l635,25794c635,16726,482,8903,,1753r12471,l12953,16878r648,c17170,6528,25756,,35306,xe" fillcolor="#211d1f" stroked="f" strokeweight="0">
                <v:stroke miterlimit="83231f" joinstyle="miter"/>
                <v:path arrowok="t" textboxrect="0,0,39344,78842"/>
              </v:shape>
              <v:shape id="Shape 104" o:spid="_x0000_s1115" style="position:absolute;left:18714;top:5148;width:346;height:794;visibility:visible;mso-wrap-style:square;v-text-anchor:top" coordsize="34585,7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" path="m34585,r,9805l26287,11754c18377,15885,14615,25057,13767,32345r20818,l34585,42377r-20983,c13767,51857,16927,58544,21827,62861r12758,4278l34585,79429,22347,77295c8108,71773,,58548,,41108,,23667,7837,9006,21394,2765l34585,xe" fillcolor="#211d1f" stroked="f" strokeweight="0">
                <v:stroke miterlimit="83231f" joinstyle="miter"/>
                <v:path arrowok="t" textboxrect="0,0,34585,79429"/>
              </v:shape>
              <v:shape id="Shape 105" o:spid="_x0000_s1116" style="position:absolute;left:19060;top:5799;width:300;height:150;visibility:visible;mso-wrap-style:square;v-text-anchor:top" coordsize="30046,14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" path="m27620,r2426,10046c25029,12281,16432,14974,3973,14974l,14281,,1991,5916,3976c16127,3976,22273,2236,27620,xe" fillcolor="#211d1f" stroked="f" strokeweight="0">
                <v:stroke miterlimit="83231f" joinstyle="miter"/>
                <v:path arrowok="t" textboxrect="0,0,30046,14974"/>
              </v:shape>
              <v:shape id="Shape 106" o:spid="_x0000_s1117" style="position:absolute;left:19060;top:5143;width:346;height:429;visibility:visible;mso-wrap-style:square;v-text-anchor:top" coordsize="34580,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" path="m2194,c27785,,34580,22136,34580,36296v,2871,-318,5119,-483,6541l,42837,,32804r20813,c20978,23888,17092,10020,1039,10020l,10264,,460,2194,xe" fillcolor="#211d1f" stroked="f" strokeweight="0">
                <v:stroke miterlimit="83231f" joinstyle="miter"/>
                <v:path arrowok="t" textboxrect="0,0,34580,42837"/>
              </v:shape>
              <v:shape id="Shape 107" o:spid="_x0000_s1118" style="position:absolute;left:8;top:4413;width:19431;height:0;visibility:visible;mso-wrap-style:square;v-text-anchor:top" coordsize="1943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" path="m,l1943100,e" filled="f" strokeweight=".27128mm">
                <v:stroke miterlimit="1" joinstyle="miter"/>
                <v:path arrowok="t" textboxrect="0,0,1943100,0"/>
              </v:shape>
              <w10:wrap type="square" anchorx="page" anchory="page"/>
            </v:group>
          </w:pict>
        </mc:Fallback>
      </mc:AlternateContent>
    </w:r>
    <w:r w:rsidR="000610A1">
      <w:t xml:space="preserve">      </w:t>
    </w:r>
    <w:r w:rsidR="003F77E2">
      <w:tab/>
    </w:r>
    <w:r w:rsidR="003F77E2">
      <w:tab/>
    </w:r>
    <w:r w:rsidR="003F77E2">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color w:val="E37222" w:themeColor="accent1"/>
      </w:rPr>
      <w:id w:val="-1509591655"/>
      <w:docPartObj>
        <w:docPartGallery w:val="Page Numbers (Bottom of Page)"/>
        <w:docPartUnique/>
      </w:docPartObj>
    </w:sdtPr>
    <w:sdtEndPr/>
    <w:sdtContent>
      <w:sdt>
        <w:sdtPr>
          <w:id w:val="-1070887102"/>
          <w:docPartObj>
            <w:docPartGallery w:val="Page Numbers (Bottom of Page)"/>
            <w:docPartUnique/>
          </w:docPartObj>
        </w:sdtPr>
        <w:sdtEndPr/>
        <w:sdtContent>
          <w:p w14:paraId="74C8A0A8" w14:textId="77777777" w:rsidR="000610A1" w:rsidRDefault="000610A1" w:rsidP="00B23843">
            <w:pPr>
              <w:pStyle w:val="Footer"/>
              <w:numPr>
                <w:ilvl w:val="0"/>
                <w:numId w:val="15"/>
              </w:numPr>
              <w:jc w:val="right"/>
            </w:pPr>
            <w:r>
              <w:t>Social Policy Research Centre 2017</w:t>
            </w:r>
            <w:r>
              <w:ptab w:relativeTo="margin" w:alignment="right" w:leader="none"/>
            </w:r>
            <w:r w:rsidRPr="00B23843">
              <w:fldChar w:fldCharType="begin"/>
            </w:r>
            <w:r w:rsidRPr="00B23843">
              <w:instrText xml:space="preserve"> PAGE   \* MERGEFORMAT </w:instrText>
            </w:r>
            <w:r w:rsidRPr="00B23843">
              <w:fldChar w:fldCharType="separate"/>
            </w:r>
            <w:r w:rsidR="00680C6A">
              <w:rPr>
                <w:noProof/>
              </w:rPr>
              <w:t>i</w:t>
            </w:r>
            <w:r w:rsidRPr="00B23843">
              <w:fldChar w:fldCharType="end"/>
            </w:r>
          </w:p>
        </w:sdtContent>
      </w:sdt>
      <w:p w14:paraId="4FC85061" w14:textId="5A3C604B" w:rsidR="000610A1" w:rsidRPr="008C7A2C" w:rsidRDefault="00680C6A" w:rsidP="00B23843">
        <w:pPr>
          <w:pStyle w:val="FooterOrange"/>
          <w:numPr>
            <w:ilvl w:val="0"/>
            <w:numId w:val="15"/>
          </w:numPr>
        </w:pPr>
        <w:fldSimple w:instr=" STYLEREF  Title  \* MERGEFORMAT ">
          <w:r w:rsidR="00F53EE7" w:rsidRPr="00F53EE7">
            <w:rPr>
              <w:bCs/>
              <w:lang w:val="en-US"/>
            </w:rPr>
            <w:t>Literature and</w:t>
          </w:r>
          <w:r w:rsidR="00F53EE7">
            <w:t xml:space="preserve"> practice review: Support to make decisions that promote personal safety and prevent harm</w:t>
          </w:r>
        </w:fldSimple>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color w:val="E37222" w:themeColor="accent1"/>
      </w:rPr>
      <w:id w:val="210388255"/>
      <w:docPartObj>
        <w:docPartGallery w:val="Page Numbers (Bottom of Page)"/>
        <w:docPartUnique/>
      </w:docPartObj>
    </w:sdtPr>
    <w:sdtEndPr/>
    <w:sdtContent>
      <w:sdt>
        <w:sdtPr>
          <w:id w:val="174700265"/>
          <w:docPartObj>
            <w:docPartGallery w:val="Page Numbers (Bottom of Page)"/>
            <w:docPartUnique/>
          </w:docPartObj>
        </w:sdtPr>
        <w:sdtEndPr/>
        <w:sdtContent>
          <w:p w14:paraId="3E72BC43" w14:textId="77777777" w:rsidR="000610A1" w:rsidRDefault="000610A1" w:rsidP="00B23843">
            <w:pPr>
              <w:pStyle w:val="Footer"/>
              <w:numPr>
                <w:ilvl w:val="0"/>
                <w:numId w:val="15"/>
              </w:numPr>
              <w:jc w:val="right"/>
            </w:pPr>
            <w:r>
              <w:t>Social Policy Research Centre 2017</w:t>
            </w:r>
            <w:r>
              <w:ptab w:relativeTo="margin" w:alignment="right" w:leader="none"/>
            </w:r>
            <w:r w:rsidRPr="00B23843">
              <w:fldChar w:fldCharType="begin"/>
            </w:r>
            <w:r w:rsidRPr="00B23843">
              <w:instrText xml:space="preserve"> PAGE   \* MERGEFORMAT </w:instrText>
            </w:r>
            <w:r w:rsidRPr="00B23843">
              <w:fldChar w:fldCharType="separate"/>
            </w:r>
            <w:r w:rsidR="00680C6A">
              <w:rPr>
                <w:noProof/>
              </w:rPr>
              <w:t>1</w:t>
            </w:r>
            <w:r w:rsidRPr="00B23843">
              <w:fldChar w:fldCharType="end"/>
            </w:r>
          </w:p>
        </w:sdtContent>
      </w:sdt>
      <w:p w14:paraId="52AD302E" w14:textId="1F6EFBC9" w:rsidR="000610A1" w:rsidRPr="000627C1" w:rsidRDefault="00680C6A" w:rsidP="00B23843">
        <w:pPr>
          <w:pStyle w:val="FooterOrange"/>
          <w:numPr>
            <w:ilvl w:val="0"/>
            <w:numId w:val="15"/>
          </w:numPr>
        </w:pPr>
        <w:fldSimple w:instr=" STYLEREF  Title  \* MERGEFORMAT ">
          <w:r w:rsidR="00F53EE7" w:rsidRPr="00F53EE7">
            <w:rPr>
              <w:bCs/>
              <w:lang w:val="en-US"/>
            </w:rPr>
            <w:t>Literature and</w:t>
          </w:r>
          <w:r w:rsidR="00F53EE7">
            <w:t xml:space="preserve"> practice review: Support to make decisions that promote personal safety and prevent harm</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3C41" w14:textId="77777777" w:rsidR="004705CE" w:rsidRPr="000D4EDE" w:rsidRDefault="004705CE" w:rsidP="000D4EDE">
      <w:r>
        <w:separator/>
      </w:r>
    </w:p>
  </w:footnote>
  <w:footnote w:type="continuationSeparator" w:id="0">
    <w:p w14:paraId="0289DE25" w14:textId="77777777" w:rsidR="004705CE" w:rsidRPr="000D4EDE" w:rsidRDefault="004705CE" w:rsidP="000D4EDE">
      <w:r>
        <w:continuationSeparator/>
      </w:r>
    </w:p>
  </w:footnote>
  <w:footnote w:id="1">
    <w:p w14:paraId="1CCD61C8" w14:textId="77777777" w:rsidR="000610A1" w:rsidRPr="00FF2D4E" w:rsidRDefault="000610A1" w:rsidP="006772E1">
      <w:pPr>
        <w:pStyle w:val="FootnoteText"/>
        <w:rPr>
          <w:szCs w:val="18"/>
        </w:rPr>
      </w:pPr>
      <w:r w:rsidRPr="00FF2D4E">
        <w:rPr>
          <w:rStyle w:val="FootnoteReference"/>
          <w:szCs w:val="18"/>
        </w:rPr>
        <w:footnoteRef/>
      </w:r>
      <w:r w:rsidRPr="00FF2D4E">
        <w:rPr>
          <w:szCs w:val="18"/>
        </w:rPr>
        <w:t xml:space="preserve"> For example: </w:t>
      </w:r>
      <w:hyperlink r:id="rId1" w:anchor="fact-sheet" w:history="1">
        <w:r w:rsidRPr="00FF2D4E">
          <w:rPr>
            <w:rStyle w:val="Hyperlink"/>
            <w:rFonts w:cs="AdvPSA5EF"/>
            <w:szCs w:val="18"/>
          </w:rPr>
          <w:t>www.speakupandbesafe.com.au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7E96" w14:textId="77777777" w:rsidR="000610A1" w:rsidRDefault="000610A1">
    <w:pPr>
      <w:pStyle w:val="Header"/>
    </w:pPr>
    <w:r w:rsidRPr="00CF170B">
      <w:rPr>
        <w:noProof/>
        <w:lang w:eastAsia="en-AU"/>
      </w:rPr>
      <w:drawing>
        <wp:anchor distT="0" distB="1080135" distL="114300" distR="114300" simplePos="0" relativeHeight="251675648" behindDoc="1" locked="0" layoutInCell="1" allowOverlap="0" wp14:anchorId="1F1D1C80" wp14:editId="3ADB2641">
          <wp:simplePos x="0" y="0"/>
          <wp:positionH relativeFrom="page">
            <wp:align>left</wp:align>
          </wp:positionH>
          <wp:positionV relativeFrom="page">
            <wp:posOffset>446405</wp:posOffset>
          </wp:positionV>
          <wp:extent cx="2721610" cy="1771015"/>
          <wp:effectExtent l="0" t="0" r="2540" b="63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1895" cy="177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A47476F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EE04B58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8"/>
    <w:multiLevelType w:val="singleLevel"/>
    <w:tmpl w:val="727C7BC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1A0A58C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203C24"/>
    <w:multiLevelType w:val="multilevel"/>
    <w:tmpl w:val="304E8D1E"/>
    <w:lvl w:ilvl="0">
      <w:start w:val="1"/>
      <w:numFmt w:val="none"/>
      <w:lvlText w:val="Notes:"/>
      <w:lvlJc w:val="left"/>
      <w:pPr>
        <w:tabs>
          <w:tab w:val="num" w:pos="720"/>
        </w:tabs>
        <w:ind w:left="720" w:hanging="720"/>
      </w:pPr>
      <w:rPr>
        <w:rFonts w:hint="default"/>
        <w:color w:val="000000" w:themeColor="text1"/>
      </w:rPr>
    </w:lvl>
    <w:lvl w:ilvl="1">
      <w:start w:val="1"/>
      <w:numFmt w:val="bullet"/>
      <w:lvlText w:val="†"/>
      <w:lvlJc w:val="left"/>
      <w:pPr>
        <w:tabs>
          <w:tab w:val="num" w:pos="1077"/>
        </w:tabs>
        <w:ind w:left="1077" w:hanging="357"/>
      </w:pPr>
      <w:rPr>
        <w:rFonts w:ascii="Arial" w:hAnsi="Arial" w:hint="default"/>
        <w:color w:val="000000" w:themeColor="text1"/>
      </w:rPr>
    </w:lvl>
    <w:lvl w:ilvl="2">
      <w:start w:val="1"/>
      <w:numFmt w:val="bullet"/>
      <w:lvlText w:val="‡"/>
      <w:lvlJc w:val="left"/>
      <w:pPr>
        <w:tabs>
          <w:tab w:val="num" w:pos="1077"/>
        </w:tabs>
        <w:ind w:left="1077" w:hanging="357"/>
      </w:pPr>
      <w:rPr>
        <w:rFonts w:ascii="Arial" w:hAnsi="Arial" w:hint="default"/>
        <w:color w:val="00000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1C159D"/>
    <w:multiLevelType w:val="hybridMultilevel"/>
    <w:tmpl w:val="AAE6A6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C1D755A"/>
    <w:multiLevelType w:val="multilevel"/>
    <w:tmpl w:val="5226EC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pStyle w:val="Heading6"/>
      <w:suff w:val="space"/>
      <w:lvlText w:val="Appendix %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C820B34"/>
    <w:multiLevelType w:val="hybridMultilevel"/>
    <w:tmpl w:val="D9CCF5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0C205E7"/>
    <w:multiLevelType w:val="hybridMultilevel"/>
    <w:tmpl w:val="3118C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AA4EC3"/>
    <w:multiLevelType w:val="multilevel"/>
    <w:tmpl w:val="336055EC"/>
    <w:numStyleLink w:val="Lists"/>
  </w:abstractNum>
  <w:abstractNum w:abstractNumId="12" w15:restartNumberingAfterBreak="0">
    <w:nsid w:val="1D295F9C"/>
    <w:multiLevelType w:val="hybridMultilevel"/>
    <w:tmpl w:val="5ACEF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16096D"/>
    <w:multiLevelType w:val="multilevel"/>
    <w:tmpl w:val="9B92C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6C3831"/>
    <w:multiLevelType w:val="hybridMultilevel"/>
    <w:tmpl w:val="A280BB4A"/>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26BD52F8"/>
    <w:multiLevelType w:val="hybridMultilevel"/>
    <w:tmpl w:val="656EA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D20456"/>
    <w:multiLevelType w:val="multilevel"/>
    <w:tmpl w:val="EBEC6306"/>
    <w:lvl w:ilvl="0">
      <w:start w:val="1"/>
      <w:numFmt w:val="bullet"/>
      <w:pStyle w:val="ShadedEmphasisBulletstyle"/>
      <w:lvlText w:val="R"/>
      <w:lvlJc w:val="left"/>
      <w:pPr>
        <w:ind w:left="717" w:hanging="360"/>
      </w:pPr>
      <w:rPr>
        <w:rFonts w:ascii="Wingdings 2" w:hAnsi="Wingdings 2" w:hint="default"/>
        <w:b w:val="0"/>
        <w:i w:val="0"/>
        <w:strike w:val="0"/>
        <w:dstrike w:val="0"/>
        <w:color w:val="000000"/>
        <w:sz w:val="22"/>
        <w:szCs w:val="22"/>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D59E3"/>
    <w:multiLevelType w:val="multilevel"/>
    <w:tmpl w:val="336055EC"/>
    <w:numStyleLink w:val="Lists"/>
  </w:abstractNum>
  <w:abstractNum w:abstractNumId="18" w15:restartNumberingAfterBreak="0">
    <w:nsid w:val="28C55760"/>
    <w:multiLevelType w:val="hybridMultilevel"/>
    <w:tmpl w:val="6F6A8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4F791F"/>
    <w:multiLevelType w:val="hybridMultilevel"/>
    <w:tmpl w:val="96361E0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B6646F"/>
    <w:multiLevelType w:val="hybridMultilevel"/>
    <w:tmpl w:val="74EA91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7557722"/>
    <w:multiLevelType w:val="hybridMultilevel"/>
    <w:tmpl w:val="2E32B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A5212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1A03E4"/>
    <w:multiLevelType w:val="hybridMultilevel"/>
    <w:tmpl w:val="067893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E07635D"/>
    <w:multiLevelType w:val="hybridMultilevel"/>
    <w:tmpl w:val="AAE6A6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8564EA"/>
    <w:multiLevelType w:val="multilevel"/>
    <w:tmpl w:val="233AAA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3A3FA9"/>
    <w:multiLevelType w:val="multilevel"/>
    <w:tmpl w:val="0524B3EC"/>
    <w:numStyleLink w:val="MultiLevelheadinglist"/>
  </w:abstractNum>
  <w:abstractNum w:abstractNumId="27" w15:restartNumberingAfterBreak="0">
    <w:nsid w:val="43F148C1"/>
    <w:multiLevelType w:val="multilevel"/>
    <w:tmpl w:val="850A6288"/>
    <w:lvl w:ilvl="0">
      <w:start w:val="1"/>
      <w:numFmt w:val="bullet"/>
      <w:pStyle w:val="ListBullet"/>
      <w:lvlText w:val=""/>
      <w:lvlJc w:val="left"/>
      <w:pPr>
        <w:ind w:left="360" w:hanging="360"/>
      </w:pPr>
      <w:rPr>
        <w:rFonts w:ascii="Symbol" w:hAnsi="Symbol" w:hint="default"/>
        <w:color w:val="E37222" w:themeColor="accent1"/>
      </w:rPr>
    </w:lvl>
    <w:lvl w:ilvl="1">
      <w:start w:val="1"/>
      <w:numFmt w:val="bullet"/>
      <w:pStyle w:val="ListBullet2"/>
      <w:lvlText w:val="-"/>
      <w:lvlJc w:val="left"/>
      <w:pPr>
        <w:tabs>
          <w:tab w:val="num" w:pos="1077"/>
        </w:tabs>
        <w:ind w:left="1077" w:hanging="357"/>
      </w:pPr>
      <w:rPr>
        <w:rFonts w:ascii="Arial" w:hAnsi="Arial" w:hint="default"/>
        <w:color w:val="E37222" w:themeColor="accent1"/>
      </w:rPr>
    </w:lvl>
    <w:lvl w:ilvl="2">
      <w:start w:val="1"/>
      <w:numFmt w:val="bullet"/>
      <w:pStyle w:val="ListBullet3"/>
      <w:lvlText w:val=""/>
      <w:lvlJc w:val="left"/>
      <w:pPr>
        <w:tabs>
          <w:tab w:val="num" w:pos="1792"/>
        </w:tabs>
        <w:ind w:left="1792" w:hanging="357"/>
      </w:pPr>
      <w:rPr>
        <w:rFonts w:ascii="Symbol" w:hAnsi="Symbol" w:hint="default"/>
        <w:color w:val="E37222" w:themeColor="accent1"/>
      </w:rPr>
    </w:lvl>
    <w:lvl w:ilvl="3">
      <w:start w:val="1"/>
      <w:numFmt w:val="none"/>
      <w:suff w:val="nothing"/>
      <w:lvlText w:val="%4"/>
      <w:lvlJc w:val="left"/>
      <w:pPr>
        <w:ind w:left="0" w:firstLine="0"/>
      </w:pPr>
      <w:rPr>
        <w:rFonts w:hint="default"/>
        <w:color w:val="auto"/>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9AD43DA"/>
    <w:multiLevelType w:val="multilevel"/>
    <w:tmpl w:val="0AFE1B7C"/>
    <w:lvl w:ilvl="0">
      <w:start w:val="1"/>
      <w:numFmt w:val="decimal"/>
      <w:suff w:val="space"/>
      <w:lvlText w:val="Accomodation Night %1."/>
      <w:lvlJc w:val="left"/>
      <w:pPr>
        <w:ind w:left="0" w:firstLine="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0445F4"/>
    <w:multiLevelType w:val="multilevel"/>
    <w:tmpl w:val="336055E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0" w15:restartNumberingAfterBreak="0">
    <w:nsid w:val="4B234B87"/>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4C47A1"/>
    <w:multiLevelType w:val="multilevel"/>
    <w:tmpl w:val="93E09C42"/>
    <w:lvl w:ilvl="0">
      <w:start w:val="1"/>
      <w:numFmt w:val="bullet"/>
      <w:lvlText w:val="†"/>
      <w:lvlJc w:val="left"/>
      <w:pPr>
        <w:tabs>
          <w:tab w:val="num" w:pos="1077"/>
        </w:tabs>
        <w:ind w:left="731" w:hanging="11"/>
      </w:pPr>
      <w:rPr>
        <w:rFonts w:ascii="Arial" w:hAnsi="Arial" w:hint="default"/>
        <w:color w:val="000000" w:themeColor="text1"/>
      </w:rPr>
    </w:lvl>
    <w:lvl w:ilvl="1">
      <w:start w:val="1"/>
      <w:numFmt w:val="bullet"/>
      <w:lvlText w:val="‡"/>
      <w:lvlJc w:val="left"/>
      <w:pPr>
        <w:tabs>
          <w:tab w:val="num" w:pos="1077"/>
        </w:tabs>
        <w:ind w:left="1077" w:hanging="357"/>
      </w:pPr>
      <w:rPr>
        <w:rFonts w:ascii="Arial" w:hAnsi="Arial" w:hint="default"/>
        <w:color w:val="000000" w:themeColor="text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7120E2D"/>
    <w:multiLevelType w:val="hybridMultilevel"/>
    <w:tmpl w:val="2A5089D8"/>
    <w:lvl w:ilvl="0" w:tplc="3484293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E46DD9"/>
    <w:multiLevelType w:val="multilevel"/>
    <w:tmpl w:val="118462A2"/>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A426B28"/>
    <w:multiLevelType w:val="multilevel"/>
    <w:tmpl w:val="0524B3EC"/>
    <w:styleLink w:val="MultiLevelheadinglist"/>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upperLetter"/>
      <w:suff w:val="nothing"/>
      <w:lvlText w:val="Appendix %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147244C"/>
    <w:multiLevelType w:val="hybridMultilevel"/>
    <w:tmpl w:val="07049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696184"/>
    <w:multiLevelType w:val="hybridMultilevel"/>
    <w:tmpl w:val="9E2EF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7E1143"/>
    <w:multiLevelType w:val="hybridMultilevel"/>
    <w:tmpl w:val="EC6694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2512099">
    <w:abstractNumId w:val="33"/>
  </w:num>
  <w:num w:numId="2" w16cid:durableId="1320036456">
    <w:abstractNumId w:val="14"/>
  </w:num>
  <w:num w:numId="3" w16cid:durableId="19670973">
    <w:abstractNumId w:val="19"/>
  </w:num>
  <w:num w:numId="4" w16cid:durableId="1117800200">
    <w:abstractNumId w:val="30"/>
  </w:num>
  <w:num w:numId="5" w16cid:durableId="103116158">
    <w:abstractNumId w:val="33"/>
  </w:num>
  <w:num w:numId="6" w16cid:durableId="1880317917">
    <w:abstractNumId w:val="6"/>
  </w:num>
  <w:num w:numId="7" w16cid:durableId="995956791">
    <w:abstractNumId w:val="27"/>
  </w:num>
  <w:num w:numId="8" w16cid:durableId="1465738317">
    <w:abstractNumId w:val="3"/>
  </w:num>
  <w:num w:numId="9" w16cid:durableId="916473993">
    <w:abstractNumId w:val="25"/>
  </w:num>
  <w:num w:numId="10" w16cid:durableId="1412774682">
    <w:abstractNumId w:val="0"/>
  </w:num>
  <w:num w:numId="11" w16cid:durableId="770783910">
    <w:abstractNumId w:val="29"/>
    <w:lvlOverride w:ilvl="0"/>
  </w:num>
  <w:num w:numId="12" w16cid:durableId="793060569">
    <w:abstractNumId w:val="34"/>
  </w:num>
  <w:num w:numId="13" w16cid:durableId="42993400">
    <w:abstractNumId w:val="31"/>
  </w:num>
  <w:num w:numId="14" w16cid:durableId="233711320">
    <w:abstractNumId w:val="17"/>
  </w:num>
  <w:num w:numId="15" w16cid:durableId="497841809">
    <w:abstractNumId w:val="29"/>
  </w:num>
  <w:num w:numId="16" w16cid:durableId="1246299666">
    <w:abstractNumId w:val="32"/>
  </w:num>
  <w:num w:numId="17" w16cid:durableId="1251230600">
    <w:abstractNumId w:val="28"/>
  </w:num>
  <w:num w:numId="18" w16cid:durableId="1462725165">
    <w:abstractNumId w:val="5"/>
  </w:num>
  <w:num w:numId="19" w16cid:durableId="1850757252">
    <w:abstractNumId w:val="4"/>
  </w:num>
  <w:num w:numId="20" w16cid:durableId="1833443113">
    <w:abstractNumId w:val="2"/>
  </w:num>
  <w:num w:numId="21" w16cid:durableId="1403873664">
    <w:abstractNumId w:val="1"/>
  </w:num>
  <w:num w:numId="22" w16cid:durableId="1658265415">
    <w:abstractNumId w:val="17"/>
  </w:num>
  <w:num w:numId="23" w16cid:durableId="1779986896">
    <w:abstractNumId w:val="19"/>
  </w:num>
  <w:num w:numId="24" w16cid:durableId="480661972">
    <w:abstractNumId w:val="13"/>
  </w:num>
  <w:num w:numId="25" w16cid:durableId="976105758">
    <w:abstractNumId w:val="13"/>
  </w:num>
  <w:num w:numId="26" w16cid:durableId="380444739">
    <w:abstractNumId w:val="14"/>
  </w:num>
  <w:num w:numId="27" w16cid:durableId="688261288">
    <w:abstractNumId w:val="13"/>
    <w:lvlOverride w:ilvl="0">
      <w:startOverride w:val="1"/>
    </w:lvlOverride>
  </w:num>
  <w:num w:numId="28" w16cid:durableId="1429307371">
    <w:abstractNumId w:val="11"/>
    <w:lvlOverride w:ilvl="0">
      <w:lvl w:ilvl="0">
        <w:start w:val="1"/>
        <w:numFmt w:val="none"/>
        <w:pStyle w:val="Normal"/>
        <w:suff w:val="nothing"/>
        <w:lvlText w:val="%1"/>
        <w:lvlJc w:val="left"/>
        <w:pPr>
          <w:ind w:left="0" w:firstLine="0"/>
        </w:pPr>
        <w:rPr>
          <w:rFonts w:hint="default"/>
        </w:rPr>
      </w:lvl>
    </w:lvlOverride>
  </w:num>
  <w:num w:numId="29" w16cid:durableId="954286129">
    <w:abstractNumId w:val="8"/>
  </w:num>
  <w:num w:numId="30" w16cid:durableId="2050639647">
    <w:abstractNumId w:val="22"/>
  </w:num>
  <w:num w:numId="31" w16cid:durableId="440734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88193">
    <w:abstractNumId w:val="16"/>
  </w:num>
  <w:num w:numId="33" w16cid:durableId="1192689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7514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7880124">
    <w:abstractNumId w:val="26"/>
  </w:num>
  <w:num w:numId="36" w16cid:durableId="236474056">
    <w:abstractNumId w:val="37"/>
  </w:num>
  <w:num w:numId="37" w16cid:durableId="681468728">
    <w:abstractNumId w:val="7"/>
  </w:num>
  <w:num w:numId="38" w16cid:durableId="45108154">
    <w:abstractNumId w:val="23"/>
  </w:num>
  <w:num w:numId="39" w16cid:durableId="2122335507">
    <w:abstractNumId w:val="15"/>
  </w:num>
  <w:num w:numId="40" w16cid:durableId="1060635824">
    <w:abstractNumId w:val="24"/>
  </w:num>
  <w:num w:numId="41" w16cid:durableId="1722244207">
    <w:abstractNumId w:val="35"/>
  </w:num>
  <w:num w:numId="42" w16cid:durableId="1634559805">
    <w:abstractNumId w:val="36"/>
  </w:num>
  <w:num w:numId="43" w16cid:durableId="443690087">
    <w:abstractNumId w:val="21"/>
  </w:num>
  <w:num w:numId="44" w16cid:durableId="1256939767">
    <w:abstractNumId w:val="18"/>
  </w:num>
  <w:num w:numId="45" w16cid:durableId="1959339103">
    <w:abstractNumId w:val="12"/>
  </w:num>
  <w:num w:numId="46" w16cid:durableId="444347379">
    <w:abstractNumId w:val="20"/>
  </w:num>
  <w:num w:numId="47" w16cid:durableId="993609263">
    <w:abstractNumId w:val="9"/>
  </w:num>
  <w:num w:numId="48" w16cid:durableId="41505767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tRCSx4hm6dl+Uqf6Q9k0+soKcM3Ja2zbGWJUG4nFlt5ta6jg29XD1l/E+zfi2p03/ZnOp3hXcJp2d0Jw8vJqiw==" w:salt="H4LvBOalU60jC4uohhvvfg=="/>
  <w:styleLockTheme/>
  <w:styleLockQFSet/>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B7"/>
    <w:rsid w:val="000008AC"/>
    <w:rsid w:val="00005D98"/>
    <w:rsid w:val="00006A71"/>
    <w:rsid w:val="00011527"/>
    <w:rsid w:val="00011C96"/>
    <w:rsid w:val="00014138"/>
    <w:rsid w:val="00027E23"/>
    <w:rsid w:val="00034A19"/>
    <w:rsid w:val="00035FC9"/>
    <w:rsid w:val="00036F9E"/>
    <w:rsid w:val="0004023B"/>
    <w:rsid w:val="000413B3"/>
    <w:rsid w:val="0004795B"/>
    <w:rsid w:val="00047CFC"/>
    <w:rsid w:val="00056CE8"/>
    <w:rsid w:val="0005773F"/>
    <w:rsid w:val="000610A1"/>
    <w:rsid w:val="000627C1"/>
    <w:rsid w:val="0006616A"/>
    <w:rsid w:val="0007135F"/>
    <w:rsid w:val="00076083"/>
    <w:rsid w:val="000766CF"/>
    <w:rsid w:val="00081537"/>
    <w:rsid w:val="000827D6"/>
    <w:rsid w:val="00083BCB"/>
    <w:rsid w:val="00084F8B"/>
    <w:rsid w:val="00086F71"/>
    <w:rsid w:val="000920FF"/>
    <w:rsid w:val="0009426B"/>
    <w:rsid w:val="000949AD"/>
    <w:rsid w:val="00094B3C"/>
    <w:rsid w:val="00095109"/>
    <w:rsid w:val="0009636D"/>
    <w:rsid w:val="00096B0F"/>
    <w:rsid w:val="000A490E"/>
    <w:rsid w:val="000B003A"/>
    <w:rsid w:val="000B63CA"/>
    <w:rsid w:val="000B752A"/>
    <w:rsid w:val="000C01FC"/>
    <w:rsid w:val="000C14D9"/>
    <w:rsid w:val="000C452B"/>
    <w:rsid w:val="000D34DD"/>
    <w:rsid w:val="000D4EDE"/>
    <w:rsid w:val="000E43AC"/>
    <w:rsid w:val="00106F39"/>
    <w:rsid w:val="0010709D"/>
    <w:rsid w:val="00117707"/>
    <w:rsid w:val="001220C1"/>
    <w:rsid w:val="00122F67"/>
    <w:rsid w:val="00123576"/>
    <w:rsid w:val="001248AE"/>
    <w:rsid w:val="00124B21"/>
    <w:rsid w:val="00125776"/>
    <w:rsid w:val="00125C03"/>
    <w:rsid w:val="00125DEB"/>
    <w:rsid w:val="001267B5"/>
    <w:rsid w:val="00126941"/>
    <w:rsid w:val="00134486"/>
    <w:rsid w:val="0013471B"/>
    <w:rsid w:val="00157C98"/>
    <w:rsid w:val="0016348A"/>
    <w:rsid w:val="001653B6"/>
    <w:rsid w:val="00167F9A"/>
    <w:rsid w:val="001700CA"/>
    <w:rsid w:val="00174B0F"/>
    <w:rsid w:val="00174B29"/>
    <w:rsid w:val="00176CF0"/>
    <w:rsid w:val="0018235E"/>
    <w:rsid w:val="00183EE2"/>
    <w:rsid w:val="00190D93"/>
    <w:rsid w:val="001B0C92"/>
    <w:rsid w:val="001B0D8F"/>
    <w:rsid w:val="001B2DB7"/>
    <w:rsid w:val="001D714D"/>
    <w:rsid w:val="001E0F51"/>
    <w:rsid w:val="001E55BF"/>
    <w:rsid w:val="001E7528"/>
    <w:rsid w:val="001F6E1A"/>
    <w:rsid w:val="001F780A"/>
    <w:rsid w:val="001F7917"/>
    <w:rsid w:val="00200613"/>
    <w:rsid w:val="002027AF"/>
    <w:rsid w:val="002114B1"/>
    <w:rsid w:val="00212851"/>
    <w:rsid w:val="00232435"/>
    <w:rsid w:val="00232A7E"/>
    <w:rsid w:val="00240126"/>
    <w:rsid w:val="00245B7E"/>
    <w:rsid w:val="0025249E"/>
    <w:rsid w:val="00252E6A"/>
    <w:rsid w:val="00256194"/>
    <w:rsid w:val="00260C45"/>
    <w:rsid w:val="002661A6"/>
    <w:rsid w:val="00266C23"/>
    <w:rsid w:val="002845DD"/>
    <w:rsid w:val="00286EAD"/>
    <w:rsid w:val="00290D1A"/>
    <w:rsid w:val="0029389B"/>
    <w:rsid w:val="002A41AC"/>
    <w:rsid w:val="002A7D14"/>
    <w:rsid w:val="002B28E4"/>
    <w:rsid w:val="002B36F3"/>
    <w:rsid w:val="002B7504"/>
    <w:rsid w:val="002C0D97"/>
    <w:rsid w:val="002C44D9"/>
    <w:rsid w:val="002C7065"/>
    <w:rsid w:val="002C7F4A"/>
    <w:rsid w:val="002D2804"/>
    <w:rsid w:val="002D4B6C"/>
    <w:rsid w:val="002E21D6"/>
    <w:rsid w:val="002E2A9A"/>
    <w:rsid w:val="002E3357"/>
    <w:rsid w:val="002E5CA8"/>
    <w:rsid w:val="002F0C2C"/>
    <w:rsid w:val="002F125C"/>
    <w:rsid w:val="002F3D6B"/>
    <w:rsid w:val="00300655"/>
    <w:rsid w:val="00303D18"/>
    <w:rsid w:val="00304062"/>
    <w:rsid w:val="00306054"/>
    <w:rsid w:val="00306390"/>
    <w:rsid w:val="00307ADD"/>
    <w:rsid w:val="00310FF2"/>
    <w:rsid w:val="003124D1"/>
    <w:rsid w:val="003130CA"/>
    <w:rsid w:val="0031625F"/>
    <w:rsid w:val="00320973"/>
    <w:rsid w:val="003244E5"/>
    <w:rsid w:val="00325CFC"/>
    <w:rsid w:val="00326DCC"/>
    <w:rsid w:val="003279EA"/>
    <w:rsid w:val="00335562"/>
    <w:rsid w:val="00335E2A"/>
    <w:rsid w:val="003427D0"/>
    <w:rsid w:val="0035483B"/>
    <w:rsid w:val="003557C3"/>
    <w:rsid w:val="00360F01"/>
    <w:rsid w:val="003614FD"/>
    <w:rsid w:val="00371F54"/>
    <w:rsid w:val="00372A5A"/>
    <w:rsid w:val="00372E2B"/>
    <w:rsid w:val="0037655E"/>
    <w:rsid w:val="00381C17"/>
    <w:rsid w:val="0038389D"/>
    <w:rsid w:val="00383A95"/>
    <w:rsid w:val="00384A36"/>
    <w:rsid w:val="00397AEE"/>
    <w:rsid w:val="003A3021"/>
    <w:rsid w:val="003A3430"/>
    <w:rsid w:val="003B2222"/>
    <w:rsid w:val="003B6E16"/>
    <w:rsid w:val="003C07B3"/>
    <w:rsid w:val="003C1E25"/>
    <w:rsid w:val="003C1F0F"/>
    <w:rsid w:val="003D27CB"/>
    <w:rsid w:val="003E3762"/>
    <w:rsid w:val="003E6BF6"/>
    <w:rsid w:val="003F0F0D"/>
    <w:rsid w:val="003F1E6D"/>
    <w:rsid w:val="003F2E58"/>
    <w:rsid w:val="003F3BD4"/>
    <w:rsid w:val="003F476F"/>
    <w:rsid w:val="003F65E2"/>
    <w:rsid w:val="003F77E2"/>
    <w:rsid w:val="0040173E"/>
    <w:rsid w:val="0040213E"/>
    <w:rsid w:val="004030E7"/>
    <w:rsid w:val="00424E0D"/>
    <w:rsid w:val="00425EAD"/>
    <w:rsid w:val="00426645"/>
    <w:rsid w:val="00440C3D"/>
    <w:rsid w:val="00440C95"/>
    <w:rsid w:val="0044447D"/>
    <w:rsid w:val="00445793"/>
    <w:rsid w:val="00453A66"/>
    <w:rsid w:val="00463FA8"/>
    <w:rsid w:val="004705CE"/>
    <w:rsid w:val="004808DA"/>
    <w:rsid w:val="00491F9C"/>
    <w:rsid w:val="00494335"/>
    <w:rsid w:val="004967A1"/>
    <w:rsid w:val="004A2092"/>
    <w:rsid w:val="004A5158"/>
    <w:rsid w:val="004B584E"/>
    <w:rsid w:val="004C102F"/>
    <w:rsid w:val="004C1106"/>
    <w:rsid w:val="004C6D4B"/>
    <w:rsid w:val="004E07AE"/>
    <w:rsid w:val="004E2269"/>
    <w:rsid w:val="004E5015"/>
    <w:rsid w:val="004F5B55"/>
    <w:rsid w:val="00500DCD"/>
    <w:rsid w:val="00503A51"/>
    <w:rsid w:val="00512309"/>
    <w:rsid w:val="00513EC2"/>
    <w:rsid w:val="005171ED"/>
    <w:rsid w:val="00523238"/>
    <w:rsid w:val="00533655"/>
    <w:rsid w:val="00534A20"/>
    <w:rsid w:val="00536E98"/>
    <w:rsid w:val="005379D1"/>
    <w:rsid w:val="00540035"/>
    <w:rsid w:val="00542522"/>
    <w:rsid w:val="0054526E"/>
    <w:rsid w:val="005476B5"/>
    <w:rsid w:val="005659A0"/>
    <w:rsid w:val="005745ED"/>
    <w:rsid w:val="00574B2E"/>
    <w:rsid w:val="00577C45"/>
    <w:rsid w:val="00581079"/>
    <w:rsid w:val="005850A2"/>
    <w:rsid w:val="00591106"/>
    <w:rsid w:val="0059229F"/>
    <w:rsid w:val="005A20FA"/>
    <w:rsid w:val="005A26E3"/>
    <w:rsid w:val="005A3F63"/>
    <w:rsid w:val="005B0185"/>
    <w:rsid w:val="005B073E"/>
    <w:rsid w:val="005B227F"/>
    <w:rsid w:val="005B7801"/>
    <w:rsid w:val="005C5891"/>
    <w:rsid w:val="005C71A1"/>
    <w:rsid w:val="005C746F"/>
    <w:rsid w:val="005D00E9"/>
    <w:rsid w:val="005D47A9"/>
    <w:rsid w:val="005D5FAE"/>
    <w:rsid w:val="005F29B7"/>
    <w:rsid w:val="00602713"/>
    <w:rsid w:val="00606EB5"/>
    <w:rsid w:val="0060718C"/>
    <w:rsid w:val="006156E8"/>
    <w:rsid w:val="00616DC4"/>
    <w:rsid w:val="00617FDA"/>
    <w:rsid w:val="0062116F"/>
    <w:rsid w:val="00624B29"/>
    <w:rsid w:val="00625A2C"/>
    <w:rsid w:val="006313B5"/>
    <w:rsid w:val="00633946"/>
    <w:rsid w:val="00634E4C"/>
    <w:rsid w:val="00636B8B"/>
    <w:rsid w:val="006427FE"/>
    <w:rsid w:val="00643E72"/>
    <w:rsid w:val="00644C8E"/>
    <w:rsid w:val="006506C1"/>
    <w:rsid w:val="00651712"/>
    <w:rsid w:val="00653449"/>
    <w:rsid w:val="0066674D"/>
    <w:rsid w:val="00666A78"/>
    <w:rsid w:val="00667394"/>
    <w:rsid w:val="0067033C"/>
    <w:rsid w:val="00671030"/>
    <w:rsid w:val="006772E1"/>
    <w:rsid w:val="00680C6A"/>
    <w:rsid w:val="006923D2"/>
    <w:rsid w:val="0069375D"/>
    <w:rsid w:val="0069407C"/>
    <w:rsid w:val="0069574E"/>
    <w:rsid w:val="006B0C2D"/>
    <w:rsid w:val="006B3B7B"/>
    <w:rsid w:val="006B4A91"/>
    <w:rsid w:val="006B6276"/>
    <w:rsid w:val="006B67F3"/>
    <w:rsid w:val="006C3103"/>
    <w:rsid w:val="006C41AA"/>
    <w:rsid w:val="006C7254"/>
    <w:rsid w:val="006D6DBC"/>
    <w:rsid w:val="006E2100"/>
    <w:rsid w:val="006E2903"/>
    <w:rsid w:val="006F145A"/>
    <w:rsid w:val="006F2075"/>
    <w:rsid w:val="006F27CB"/>
    <w:rsid w:val="006F5865"/>
    <w:rsid w:val="00702E37"/>
    <w:rsid w:val="00710FCE"/>
    <w:rsid w:val="007149EA"/>
    <w:rsid w:val="007365A8"/>
    <w:rsid w:val="00745007"/>
    <w:rsid w:val="0074680A"/>
    <w:rsid w:val="00750DBB"/>
    <w:rsid w:val="007541B0"/>
    <w:rsid w:val="00755163"/>
    <w:rsid w:val="007555A4"/>
    <w:rsid w:val="00756AAB"/>
    <w:rsid w:val="00757F63"/>
    <w:rsid w:val="007645AE"/>
    <w:rsid w:val="00764992"/>
    <w:rsid w:val="00767DF0"/>
    <w:rsid w:val="007754E3"/>
    <w:rsid w:val="00775AA0"/>
    <w:rsid w:val="00796F6B"/>
    <w:rsid w:val="007A4FAD"/>
    <w:rsid w:val="007B2035"/>
    <w:rsid w:val="007B2CB3"/>
    <w:rsid w:val="007B3C64"/>
    <w:rsid w:val="007B5D4B"/>
    <w:rsid w:val="007C08B1"/>
    <w:rsid w:val="007C2CC2"/>
    <w:rsid w:val="007C79AA"/>
    <w:rsid w:val="007D07B2"/>
    <w:rsid w:val="007D417A"/>
    <w:rsid w:val="007D7E38"/>
    <w:rsid w:val="007E3FAF"/>
    <w:rsid w:val="007E525D"/>
    <w:rsid w:val="007E5B48"/>
    <w:rsid w:val="007E5D51"/>
    <w:rsid w:val="007E6A0C"/>
    <w:rsid w:val="007F3338"/>
    <w:rsid w:val="007F6C9E"/>
    <w:rsid w:val="0080156A"/>
    <w:rsid w:val="00814683"/>
    <w:rsid w:val="0081475C"/>
    <w:rsid w:val="0082173D"/>
    <w:rsid w:val="0082524D"/>
    <w:rsid w:val="008407B2"/>
    <w:rsid w:val="008412CB"/>
    <w:rsid w:val="00841995"/>
    <w:rsid w:val="00845843"/>
    <w:rsid w:val="00846D34"/>
    <w:rsid w:val="00850591"/>
    <w:rsid w:val="00850EF0"/>
    <w:rsid w:val="0085146E"/>
    <w:rsid w:val="008563E4"/>
    <w:rsid w:val="0086215D"/>
    <w:rsid w:val="008637EC"/>
    <w:rsid w:val="00863C5F"/>
    <w:rsid w:val="00870BC6"/>
    <w:rsid w:val="008731BD"/>
    <w:rsid w:val="00875876"/>
    <w:rsid w:val="00875B80"/>
    <w:rsid w:val="00876D1C"/>
    <w:rsid w:val="0088036D"/>
    <w:rsid w:val="00880BC9"/>
    <w:rsid w:val="0088132C"/>
    <w:rsid w:val="00885A14"/>
    <w:rsid w:val="0088689B"/>
    <w:rsid w:val="00890FA0"/>
    <w:rsid w:val="00891EB3"/>
    <w:rsid w:val="008A214D"/>
    <w:rsid w:val="008A72D2"/>
    <w:rsid w:val="008B51AF"/>
    <w:rsid w:val="008B6868"/>
    <w:rsid w:val="008C1DA5"/>
    <w:rsid w:val="008C29B1"/>
    <w:rsid w:val="008C6A43"/>
    <w:rsid w:val="008C70FE"/>
    <w:rsid w:val="008C7A2C"/>
    <w:rsid w:val="008D080C"/>
    <w:rsid w:val="008E0534"/>
    <w:rsid w:val="008E3A7A"/>
    <w:rsid w:val="008E3E16"/>
    <w:rsid w:val="008E6F55"/>
    <w:rsid w:val="008F33B5"/>
    <w:rsid w:val="00906799"/>
    <w:rsid w:val="00907F78"/>
    <w:rsid w:val="00912816"/>
    <w:rsid w:val="009176AB"/>
    <w:rsid w:val="00922F80"/>
    <w:rsid w:val="00924152"/>
    <w:rsid w:val="0093194D"/>
    <w:rsid w:val="00932198"/>
    <w:rsid w:val="00933B6D"/>
    <w:rsid w:val="00934C3F"/>
    <w:rsid w:val="009417AE"/>
    <w:rsid w:val="00941D0D"/>
    <w:rsid w:val="009516A5"/>
    <w:rsid w:val="00951AF2"/>
    <w:rsid w:val="00952D4C"/>
    <w:rsid w:val="00955E45"/>
    <w:rsid w:val="00957A79"/>
    <w:rsid w:val="00974F0E"/>
    <w:rsid w:val="00975952"/>
    <w:rsid w:val="009766D8"/>
    <w:rsid w:val="009875BB"/>
    <w:rsid w:val="009906D1"/>
    <w:rsid w:val="00990EF1"/>
    <w:rsid w:val="009979F4"/>
    <w:rsid w:val="009A45B2"/>
    <w:rsid w:val="009B0231"/>
    <w:rsid w:val="009B1A07"/>
    <w:rsid w:val="009B2644"/>
    <w:rsid w:val="009B780F"/>
    <w:rsid w:val="009C14DD"/>
    <w:rsid w:val="009D2DDD"/>
    <w:rsid w:val="009E0B15"/>
    <w:rsid w:val="009E6745"/>
    <w:rsid w:val="009F38B2"/>
    <w:rsid w:val="009F7ADA"/>
    <w:rsid w:val="00A00A80"/>
    <w:rsid w:val="00A12316"/>
    <w:rsid w:val="00A27D18"/>
    <w:rsid w:val="00A32A9A"/>
    <w:rsid w:val="00A33802"/>
    <w:rsid w:val="00A3591A"/>
    <w:rsid w:val="00A37E51"/>
    <w:rsid w:val="00A40BC0"/>
    <w:rsid w:val="00A4253D"/>
    <w:rsid w:val="00A53D23"/>
    <w:rsid w:val="00A55513"/>
    <w:rsid w:val="00A55F6D"/>
    <w:rsid w:val="00A61FDC"/>
    <w:rsid w:val="00A62D31"/>
    <w:rsid w:val="00A63380"/>
    <w:rsid w:val="00A7181F"/>
    <w:rsid w:val="00A75C59"/>
    <w:rsid w:val="00A76B38"/>
    <w:rsid w:val="00A76B83"/>
    <w:rsid w:val="00A9054A"/>
    <w:rsid w:val="00A92719"/>
    <w:rsid w:val="00A97E3B"/>
    <w:rsid w:val="00AA5831"/>
    <w:rsid w:val="00AA70A0"/>
    <w:rsid w:val="00AB039E"/>
    <w:rsid w:val="00AC4554"/>
    <w:rsid w:val="00AC4B06"/>
    <w:rsid w:val="00AC591D"/>
    <w:rsid w:val="00AC68A6"/>
    <w:rsid w:val="00AC69A0"/>
    <w:rsid w:val="00AD3D7D"/>
    <w:rsid w:val="00AD432F"/>
    <w:rsid w:val="00AD45EE"/>
    <w:rsid w:val="00AE00EA"/>
    <w:rsid w:val="00AF129F"/>
    <w:rsid w:val="00AF3548"/>
    <w:rsid w:val="00B00549"/>
    <w:rsid w:val="00B1023A"/>
    <w:rsid w:val="00B11E6B"/>
    <w:rsid w:val="00B12DC9"/>
    <w:rsid w:val="00B13F84"/>
    <w:rsid w:val="00B15ABA"/>
    <w:rsid w:val="00B16765"/>
    <w:rsid w:val="00B21E26"/>
    <w:rsid w:val="00B23843"/>
    <w:rsid w:val="00B250F2"/>
    <w:rsid w:val="00B32120"/>
    <w:rsid w:val="00B42B2F"/>
    <w:rsid w:val="00B472E1"/>
    <w:rsid w:val="00B50A3B"/>
    <w:rsid w:val="00B60B15"/>
    <w:rsid w:val="00B631F5"/>
    <w:rsid w:val="00B67C66"/>
    <w:rsid w:val="00B7011B"/>
    <w:rsid w:val="00B71170"/>
    <w:rsid w:val="00B8001C"/>
    <w:rsid w:val="00B80BCE"/>
    <w:rsid w:val="00B81740"/>
    <w:rsid w:val="00B8346F"/>
    <w:rsid w:val="00B85D7B"/>
    <w:rsid w:val="00B900EA"/>
    <w:rsid w:val="00B91069"/>
    <w:rsid w:val="00B92842"/>
    <w:rsid w:val="00B947EC"/>
    <w:rsid w:val="00B95DAA"/>
    <w:rsid w:val="00BB0134"/>
    <w:rsid w:val="00BD12A1"/>
    <w:rsid w:val="00BE4181"/>
    <w:rsid w:val="00BE7FAC"/>
    <w:rsid w:val="00BF17C6"/>
    <w:rsid w:val="00BF429C"/>
    <w:rsid w:val="00C00FDA"/>
    <w:rsid w:val="00C00FE0"/>
    <w:rsid w:val="00C04E4B"/>
    <w:rsid w:val="00C161CC"/>
    <w:rsid w:val="00C22D43"/>
    <w:rsid w:val="00C34916"/>
    <w:rsid w:val="00C3606D"/>
    <w:rsid w:val="00C36195"/>
    <w:rsid w:val="00C575E0"/>
    <w:rsid w:val="00C62BF5"/>
    <w:rsid w:val="00C636DA"/>
    <w:rsid w:val="00C67F07"/>
    <w:rsid w:val="00C72271"/>
    <w:rsid w:val="00C874EB"/>
    <w:rsid w:val="00C87DA0"/>
    <w:rsid w:val="00C932C9"/>
    <w:rsid w:val="00C94B24"/>
    <w:rsid w:val="00C97BAA"/>
    <w:rsid w:val="00CA1EDA"/>
    <w:rsid w:val="00CA43A5"/>
    <w:rsid w:val="00CA4625"/>
    <w:rsid w:val="00CA4FBE"/>
    <w:rsid w:val="00CA6FF9"/>
    <w:rsid w:val="00CB4238"/>
    <w:rsid w:val="00CC1A64"/>
    <w:rsid w:val="00CC24AC"/>
    <w:rsid w:val="00CC34EB"/>
    <w:rsid w:val="00CC66EA"/>
    <w:rsid w:val="00CD3B8A"/>
    <w:rsid w:val="00CD3C17"/>
    <w:rsid w:val="00CD5A26"/>
    <w:rsid w:val="00CE1F9C"/>
    <w:rsid w:val="00CE2E48"/>
    <w:rsid w:val="00CF0C86"/>
    <w:rsid w:val="00CF170B"/>
    <w:rsid w:val="00CF7D0D"/>
    <w:rsid w:val="00D021F7"/>
    <w:rsid w:val="00D04834"/>
    <w:rsid w:val="00D078A2"/>
    <w:rsid w:val="00D10D45"/>
    <w:rsid w:val="00D11FFD"/>
    <w:rsid w:val="00D14EFA"/>
    <w:rsid w:val="00D24661"/>
    <w:rsid w:val="00D255D3"/>
    <w:rsid w:val="00D264D9"/>
    <w:rsid w:val="00D26AAA"/>
    <w:rsid w:val="00D30C08"/>
    <w:rsid w:val="00D367EB"/>
    <w:rsid w:val="00D41C19"/>
    <w:rsid w:val="00D45C47"/>
    <w:rsid w:val="00D461C2"/>
    <w:rsid w:val="00D46353"/>
    <w:rsid w:val="00D47F1C"/>
    <w:rsid w:val="00D55596"/>
    <w:rsid w:val="00D56956"/>
    <w:rsid w:val="00D61AAE"/>
    <w:rsid w:val="00D67FA6"/>
    <w:rsid w:val="00D74454"/>
    <w:rsid w:val="00D771F9"/>
    <w:rsid w:val="00D83AEB"/>
    <w:rsid w:val="00D9093A"/>
    <w:rsid w:val="00D9602C"/>
    <w:rsid w:val="00DA3826"/>
    <w:rsid w:val="00DA4C48"/>
    <w:rsid w:val="00DA5262"/>
    <w:rsid w:val="00DA727D"/>
    <w:rsid w:val="00DA72D0"/>
    <w:rsid w:val="00DB53A7"/>
    <w:rsid w:val="00DC1887"/>
    <w:rsid w:val="00DC5B92"/>
    <w:rsid w:val="00DC6AA6"/>
    <w:rsid w:val="00DD170F"/>
    <w:rsid w:val="00DD1A06"/>
    <w:rsid w:val="00DD1ACD"/>
    <w:rsid w:val="00DD4FA3"/>
    <w:rsid w:val="00DE0A8A"/>
    <w:rsid w:val="00DE7FAD"/>
    <w:rsid w:val="00DF0239"/>
    <w:rsid w:val="00DF6E54"/>
    <w:rsid w:val="00E01576"/>
    <w:rsid w:val="00E0272D"/>
    <w:rsid w:val="00E04228"/>
    <w:rsid w:val="00E04457"/>
    <w:rsid w:val="00E04BBC"/>
    <w:rsid w:val="00E11C20"/>
    <w:rsid w:val="00E12DCD"/>
    <w:rsid w:val="00E159D7"/>
    <w:rsid w:val="00E21653"/>
    <w:rsid w:val="00E2414E"/>
    <w:rsid w:val="00E26830"/>
    <w:rsid w:val="00E30747"/>
    <w:rsid w:val="00E40773"/>
    <w:rsid w:val="00E41483"/>
    <w:rsid w:val="00E5508A"/>
    <w:rsid w:val="00E55A59"/>
    <w:rsid w:val="00E55EE5"/>
    <w:rsid w:val="00E7257D"/>
    <w:rsid w:val="00E728CB"/>
    <w:rsid w:val="00E74C29"/>
    <w:rsid w:val="00E81DA8"/>
    <w:rsid w:val="00E8255C"/>
    <w:rsid w:val="00E84A6B"/>
    <w:rsid w:val="00E87318"/>
    <w:rsid w:val="00E9078B"/>
    <w:rsid w:val="00E92385"/>
    <w:rsid w:val="00E96DEA"/>
    <w:rsid w:val="00EA48AE"/>
    <w:rsid w:val="00EA542C"/>
    <w:rsid w:val="00EB7834"/>
    <w:rsid w:val="00EB7F9D"/>
    <w:rsid w:val="00EC7DE5"/>
    <w:rsid w:val="00ED1175"/>
    <w:rsid w:val="00EE0126"/>
    <w:rsid w:val="00EE4D89"/>
    <w:rsid w:val="00EE5B8F"/>
    <w:rsid w:val="00EE7B27"/>
    <w:rsid w:val="00EF2A15"/>
    <w:rsid w:val="00EF5BFD"/>
    <w:rsid w:val="00F058B7"/>
    <w:rsid w:val="00F11AAE"/>
    <w:rsid w:val="00F12BB2"/>
    <w:rsid w:val="00F206A4"/>
    <w:rsid w:val="00F21A36"/>
    <w:rsid w:val="00F26732"/>
    <w:rsid w:val="00F26E46"/>
    <w:rsid w:val="00F27DD5"/>
    <w:rsid w:val="00F34D63"/>
    <w:rsid w:val="00F44A29"/>
    <w:rsid w:val="00F53C10"/>
    <w:rsid w:val="00F53EE7"/>
    <w:rsid w:val="00F55DF1"/>
    <w:rsid w:val="00F64947"/>
    <w:rsid w:val="00F6570B"/>
    <w:rsid w:val="00F6597B"/>
    <w:rsid w:val="00F67615"/>
    <w:rsid w:val="00F72FBB"/>
    <w:rsid w:val="00F76C98"/>
    <w:rsid w:val="00F804CD"/>
    <w:rsid w:val="00F80750"/>
    <w:rsid w:val="00F84587"/>
    <w:rsid w:val="00F85C43"/>
    <w:rsid w:val="00F85F59"/>
    <w:rsid w:val="00F86DD4"/>
    <w:rsid w:val="00F90EE4"/>
    <w:rsid w:val="00F91080"/>
    <w:rsid w:val="00FA749D"/>
    <w:rsid w:val="00FB0076"/>
    <w:rsid w:val="00FB4CF2"/>
    <w:rsid w:val="00FC32E1"/>
    <w:rsid w:val="00FC5892"/>
    <w:rsid w:val="00FD0B85"/>
    <w:rsid w:val="00FD4F27"/>
    <w:rsid w:val="00FE419E"/>
    <w:rsid w:val="00FE5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6D56C"/>
  <w15:docId w15:val="{65AE08DD-A545-484C-935A-10825FBE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AU" w:eastAsia="en-US" w:bidi="ar-SA"/>
      </w:rPr>
    </w:rPrDefault>
    <w:pPrDefault>
      <w:pPr>
        <w:spacing w:before="40" w:after="120" w:line="276" w:lineRule="auto"/>
      </w:pPr>
    </w:pPrDefault>
  </w:docDefaults>
  <w:latentStyles w:defLockedState="1" w:defUIPriority="99" w:defSemiHidden="0" w:defUnhideWhenUsed="0" w:defQFormat="0" w:count="376">
    <w:lsdException w:name="Normal" w:locked="0" w:uiPriority="11"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4" w:unhideWhenUsed="1" w:qFormat="1"/>
    <w:lsdException w:name="List Number" w:uiPriority="16"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uiPriority="14" w:unhideWhenUsed="1" w:qFormat="1"/>
    <w:lsdException w:name="List Bullet 3" w:unhideWhenUsed="1" w:qFormat="1"/>
    <w:lsdException w:name="List Bullet 4" w:unhideWhenUsed="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2"/>
    <w:lsdException w:name="Closing" w:semiHidden="1" w:unhideWhenUsed="1"/>
    <w:lsdException w:name="Signature" w:semiHidden="1" w:unhideWhenUsed="1"/>
    <w:lsdException w:name="Default Paragraph Font" w:locked="0"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C6AA6"/>
    <w:pPr>
      <w:numPr>
        <w:numId w:val="28"/>
      </w:numPr>
      <w:tabs>
        <w:tab w:val="left" w:pos="357"/>
      </w:tabs>
      <w:spacing w:before="0" w:after="240" w:line="288" w:lineRule="auto"/>
    </w:pPr>
  </w:style>
  <w:style w:type="paragraph" w:styleId="Heading1">
    <w:name w:val="heading 1"/>
    <w:basedOn w:val="Normal"/>
    <w:next w:val="Normal"/>
    <w:link w:val="Heading1Char"/>
    <w:uiPriority w:val="9"/>
    <w:qFormat/>
    <w:rsid w:val="00306054"/>
    <w:pPr>
      <w:keepNext/>
      <w:pageBreakBefore/>
      <w:numPr>
        <w:numId w:val="35"/>
      </w:numPr>
      <w:tabs>
        <w:tab w:val="clear" w:pos="357"/>
      </w:tabs>
      <w:spacing w:after="360"/>
      <w:outlineLvl w:val="0"/>
    </w:pPr>
    <w:rPr>
      <w:rFonts w:eastAsiaTheme="majorEastAsia" w:cstheme="majorBidi"/>
      <w:b/>
      <w:bCs/>
      <w:color w:val="E37222" w:themeColor="accent1"/>
      <w:sz w:val="40"/>
      <w:szCs w:val="28"/>
    </w:rPr>
  </w:style>
  <w:style w:type="paragraph" w:styleId="Heading2">
    <w:name w:val="heading 2"/>
    <w:basedOn w:val="Normal"/>
    <w:next w:val="Normal"/>
    <w:link w:val="Heading2Char"/>
    <w:uiPriority w:val="9"/>
    <w:qFormat/>
    <w:rsid w:val="00876D1C"/>
    <w:pPr>
      <w:keepNext/>
      <w:numPr>
        <w:ilvl w:val="1"/>
        <w:numId w:val="35"/>
      </w:numPr>
      <w:spacing w:before="320" w:after="120"/>
      <w:outlineLvl w:val="1"/>
    </w:pPr>
    <w:rPr>
      <w:rFonts w:asciiTheme="majorHAnsi" w:eastAsiaTheme="majorEastAsia" w:hAnsiTheme="majorHAnsi" w:cstheme="majorBidi"/>
      <w:b/>
      <w:bCs/>
      <w:color w:val="E37222" w:themeColor="accent1"/>
      <w:sz w:val="28"/>
      <w:szCs w:val="26"/>
    </w:rPr>
  </w:style>
  <w:style w:type="paragraph" w:styleId="Heading3">
    <w:name w:val="heading 3"/>
    <w:basedOn w:val="Normal"/>
    <w:next w:val="Normal"/>
    <w:link w:val="Heading3Char"/>
    <w:uiPriority w:val="9"/>
    <w:qFormat/>
    <w:rsid w:val="0035483B"/>
    <w:pPr>
      <w:keepNext/>
      <w:numPr>
        <w:ilvl w:val="2"/>
        <w:numId w:val="35"/>
      </w:numPr>
      <w:tabs>
        <w:tab w:val="clear" w:pos="357"/>
        <w:tab w:val="left" w:pos="1077"/>
      </w:tabs>
      <w:spacing w:before="240" w:after="0"/>
      <w:outlineLvl w:val="2"/>
    </w:pPr>
    <w:rPr>
      <w:rFonts w:asciiTheme="majorHAnsi" w:eastAsiaTheme="majorEastAsia" w:hAnsiTheme="majorHAnsi" w:cstheme="majorBidi"/>
      <w:bCs/>
      <w:color w:val="000000" w:themeColor="text1"/>
      <w:sz w:val="26"/>
    </w:rPr>
  </w:style>
  <w:style w:type="paragraph" w:styleId="Heading4">
    <w:name w:val="heading 4"/>
    <w:basedOn w:val="Normal"/>
    <w:next w:val="Normal"/>
    <w:link w:val="Heading4Char"/>
    <w:uiPriority w:val="9"/>
    <w:semiHidden/>
    <w:qFormat/>
    <w:rsid w:val="00372E2B"/>
    <w:pPr>
      <w:keepNext/>
      <w:numPr>
        <w:numId w:val="0"/>
      </w:numPr>
      <w:spacing w:before="113" w:after="57" w:line="216" w:lineRule="atLeast"/>
      <w:outlineLvl w:val="3"/>
    </w:pPr>
    <w:rPr>
      <w:rFonts w:asciiTheme="majorHAnsi" w:eastAsiaTheme="majorEastAsia" w:hAnsiTheme="majorHAnsi" w:cstheme="majorBidi"/>
      <w:b/>
      <w:bCs/>
      <w:iCs/>
      <w:color w:val="000000" w:themeColor="text1"/>
      <w:sz w:val="26"/>
    </w:rPr>
  </w:style>
  <w:style w:type="paragraph" w:styleId="Heading5">
    <w:name w:val="heading 5"/>
    <w:basedOn w:val="Normal"/>
    <w:next w:val="Normal"/>
    <w:link w:val="Heading5Char"/>
    <w:uiPriority w:val="9"/>
    <w:semiHidden/>
    <w:qFormat/>
    <w:locked/>
    <w:rsid w:val="00372E2B"/>
    <w:pPr>
      <w:keepNext/>
      <w:spacing w:before="200"/>
      <w:outlineLvl w:val="4"/>
    </w:pPr>
    <w:rPr>
      <w:rFonts w:asciiTheme="majorHAnsi" w:eastAsiaTheme="majorEastAsia" w:hAnsiTheme="majorHAnsi" w:cstheme="majorBidi"/>
      <w:color w:val="73370E" w:themeColor="accent1" w:themeShade="7F"/>
    </w:rPr>
  </w:style>
  <w:style w:type="paragraph" w:styleId="Heading6">
    <w:name w:val="heading 6"/>
    <w:aliases w:val="Appendix Heading"/>
    <w:basedOn w:val="Normal"/>
    <w:next w:val="Normal"/>
    <w:link w:val="Heading6Char"/>
    <w:uiPriority w:val="12"/>
    <w:qFormat/>
    <w:rsid w:val="002A41AC"/>
    <w:pPr>
      <w:keepNext/>
      <w:numPr>
        <w:ilvl w:val="5"/>
        <w:numId w:val="29"/>
      </w:numPr>
      <w:spacing w:after="400"/>
      <w:outlineLvl w:val="5"/>
    </w:pPr>
    <w:rPr>
      <w:rFonts w:asciiTheme="majorHAnsi" w:eastAsiaTheme="majorEastAsia" w:hAnsiTheme="majorHAnsi" w:cstheme="majorBidi"/>
      <w:b/>
      <w:iCs/>
      <w:color w:val="E37222" w:themeColor="accent1"/>
      <w:sz w:val="40"/>
    </w:rPr>
  </w:style>
  <w:style w:type="paragraph" w:styleId="Heading7">
    <w:name w:val="heading 7"/>
    <w:basedOn w:val="Normal"/>
    <w:next w:val="Normal"/>
    <w:link w:val="Heading7Char"/>
    <w:uiPriority w:val="9"/>
    <w:semiHidden/>
    <w:qFormat/>
    <w:locked/>
    <w:rsid w:val="00372E2B"/>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locked/>
    <w:rsid w:val="00372E2B"/>
    <w:pPr>
      <w:keepNext/>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locked/>
    <w:rsid w:val="00372E2B"/>
    <w:pPr>
      <w:keepNext/>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054"/>
    <w:rPr>
      <w:rFonts w:eastAsiaTheme="majorEastAsia" w:cstheme="majorBidi"/>
      <w:b/>
      <w:bCs/>
      <w:color w:val="E37222" w:themeColor="accent1"/>
      <w:sz w:val="40"/>
      <w:szCs w:val="28"/>
    </w:rPr>
  </w:style>
  <w:style w:type="character" w:customStyle="1" w:styleId="Heading2Char">
    <w:name w:val="Heading 2 Char"/>
    <w:basedOn w:val="DefaultParagraphFont"/>
    <w:link w:val="Heading2"/>
    <w:uiPriority w:val="9"/>
    <w:rsid w:val="00876D1C"/>
    <w:rPr>
      <w:rFonts w:asciiTheme="majorHAnsi" w:eastAsiaTheme="majorEastAsia" w:hAnsiTheme="majorHAnsi" w:cstheme="majorBidi"/>
      <w:b/>
      <w:bCs/>
      <w:color w:val="E37222" w:themeColor="accent1"/>
      <w:sz w:val="28"/>
      <w:szCs w:val="26"/>
    </w:rPr>
  </w:style>
  <w:style w:type="character" w:customStyle="1" w:styleId="Heading3Char">
    <w:name w:val="Heading 3 Char"/>
    <w:basedOn w:val="DefaultParagraphFont"/>
    <w:link w:val="Heading3"/>
    <w:uiPriority w:val="9"/>
    <w:rsid w:val="0035483B"/>
    <w:rPr>
      <w:rFonts w:asciiTheme="majorHAnsi" w:eastAsiaTheme="majorEastAsia" w:hAnsiTheme="majorHAnsi" w:cstheme="majorBidi"/>
      <w:bCs/>
      <w:color w:val="000000" w:themeColor="text1"/>
      <w:sz w:val="26"/>
    </w:rPr>
  </w:style>
  <w:style w:type="paragraph" w:customStyle="1" w:styleId="SubHeading">
    <w:name w:val="Sub Heading"/>
    <w:basedOn w:val="Normal"/>
    <w:next w:val="Normal"/>
    <w:uiPriority w:val="11"/>
    <w:qFormat/>
    <w:rsid w:val="00EB7834"/>
    <w:pPr>
      <w:keepNext/>
      <w:spacing w:before="240" w:after="0"/>
    </w:pPr>
    <w:rPr>
      <w:rFonts w:asciiTheme="minorHAnsi" w:hAnsiTheme="minorHAnsi"/>
      <w:b/>
      <w:sz w:val="28"/>
    </w:rPr>
  </w:style>
  <w:style w:type="character" w:customStyle="1" w:styleId="Heading4Char">
    <w:name w:val="Heading 4 Char"/>
    <w:basedOn w:val="DefaultParagraphFont"/>
    <w:link w:val="Heading4"/>
    <w:uiPriority w:val="9"/>
    <w:semiHidden/>
    <w:rsid w:val="00F44A29"/>
    <w:rPr>
      <w:rFonts w:asciiTheme="majorHAnsi" w:eastAsiaTheme="majorEastAsia" w:hAnsiTheme="majorHAnsi" w:cstheme="majorBidi"/>
      <w:b/>
      <w:bCs/>
      <w:iCs/>
      <w:color w:val="000000" w:themeColor="text1"/>
      <w:sz w:val="26"/>
      <w:szCs w:val="22"/>
    </w:rPr>
  </w:style>
  <w:style w:type="paragraph" w:styleId="ListBullet">
    <w:name w:val="List Bullet"/>
    <w:basedOn w:val="Normal"/>
    <w:uiPriority w:val="14"/>
    <w:qFormat/>
    <w:rsid w:val="00876D1C"/>
    <w:pPr>
      <w:numPr>
        <w:numId w:val="7"/>
      </w:numPr>
      <w:spacing w:after="120"/>
      <w:ind w:left="357" w:hanging="357"/>
    </w:pPr>
    <w:rPr>
      <w:color w:val="000000" w:themeColor="text1"/>
    </w:rPr>
  </w:style>
  <w:style w:type="paragraph" w:styleId="ListBullet2">
    <w:name w:val="List Bullet 2"/>
    <w:basedOn w:val="ListBullet"/>
    <w:uiPriority w:val="14"/>
    <w:qFormat/>
    <w:rsid w:val="007F3338"/>
    <w:pPr>
      <w:numPr>
        <w:ilvl w:val="1"/>
      </w:numPr>
    </w:pPr>
  </w:style>
  <w:style w:type="paragraph" w:styleId="ListNumber">
    <w:name w:val="List Number"/>
    <w:basedOn w:val="Normal"/>
    <w:uiPriority w:val="16"/>
    <w:qFormat/>
    <w:rsid w:val="00A9054A"/>
    <w:pPr>
      <w:numPr>
        <w:ilvl w:val="1"/>
      </w:numPr>
    </w:pPr>
  </w:style>
  <w:style w:type="paragraph" w:styleId="ListNumber2">
    <w:name w:val="List Number 2"/>
    <w:basedOn w:val="Normal"/>
    <w:uiPriority w:val="16"/>
    <w:qFormat/>
    <w:rsid w:val="00A9054A"/>
    <w:pPr>
      <w:numPr>
        <w:ilvl w:val="2"/>
      </w:numPr>
    </w:pPr>
  </w:style>
  <w:style w:type="numbering" w:customStyle="1" w:styleId="Lists">
    <w:name w:val="Lists"/>
    <w:uiPriority w:val="99"/>
    <w:rsid w:val="009176AB"/>
    <w:pPr>
      <w:numPr>
        <w:numId w:val="15"/>
      </w:numPr>
    </w:pPr>
  </w:style>
  <w:style w:type="paragraph" w:styleId="ListNumber3">
    <w:name w:val="List Number 3"/>
    <w:basedOn w:val="Normal"/>
    <w:uiPriority w:val="16"/>
    <w:qFormat/>
    <w:rsid w:val="00A9054A"/>
    <w:pPr>
      <w:numPr>
        <w:ilvl w:val="3"/>
      </w:numPr>
      <w:tabs>
        <w:tab w:val="right" w:leader="dot" w:pos="9072"/>
      </w:tabs>
    </w:pPr>
  </w:style>
  <w:style w:type="paragraph" w:styleId="Title">
    <w:name w:val="Title"/>
    <w:basedOn w:val="Preparedfor"/>
    <w:link w:val="TitleChar"/>
    <w:uiPriority w:val="38"/>
    <w:rsid w:val="00CF170B"/>
    <w:pPr>
      <w:spacing w:after="1418"/>
    </w:pPr>
    <w:rPr>
      <w:rFonts w:asciiTheme="majorHAnsi" w:eastAsiaTheme="majorEastAsia" w:hAnsiTheme="majorHAnsi" w:cstheme="majorBidi"/>
      <w:sz w:val="52"/>
      <w:szCs w:val="52"/>
    </w:rPr>
  </w:style>
  <w:style w:type="character" w:customStyle="1" w:styleId="TitleChar">
    <w:name w:val="Title Char"/>
    <w:basedOn w:val="DefaultParagraphFont"/>
    <w:link w:val="Title"/>
    <w:uiPriority w:val="38"/>
    <w:rsid w:val="00CF170B"/>
    <w:rPr>
      <w:rFonts w:asciiTheme="majorHAnsi" w:eastAsiaTheme="majorEastAsia" w:hAnsiTheme="majorHAnsi" w:cstheme="majorBidi"/>
      <w:sz w:val="52"/>
      <w:szCs w:val="52"/>
    </w:rPr>
  </w:style>
  <w:style w:type="numbering" w:customStyle="1" w:styleId="MultiLevelheadinglist">
    <w:name w:val="Multi Level heading list"/>
    <w:uiPriority w:val="99"/>
    <w:rsid w:val="008407B2"/>
    <w:pPr>
      <w:numPr>
        <w:numId w:val="12"/>
      </w:numPr>
    </w:pPr>
  </w:style>
  <w:style w:type="paragraph" w:styleId="TOC1">
    <w:name w:val="toc 1"/>
    <w:basedOn w:val="Normal"/>
    <w:next w:val="Normal"/>
    <w:autoRedefine/>
    <w:uiPriority w:val="39"/>
    <w:rsid w:val="00425EAD"/>
    <w:pPr>
      <w:tabs>
        <w:tab w:val="clear" w:pos="357"/>
        <w:tab w:val="left" w:pos="794"/>
        <w:tab w:val="right" w:pos="9129"/>
      </w:tabs>
      <w:spacing w:before="240"/>
      <w:ind w:left="454" w:right="907"/>
    </w:pPr>
    <w:rPr>
      <w:b/>
      <w:noProof/>
    </w:rPr>
  </w:style>
  <w:style w:type="paragraph" w:styleId="TOCHeading">
    <w:name w:val="TOC Heading"/>
    <w:basedOn w:val="Heading1"/>
    <w:next w:val="Normal"/>
    <w:uiPriority w:val="39"/>
    <w:rsid w:val="003F476F"/>
    <w:pPr>
      <w:numPr>
        <w:numId w:val="0"/>
      </w:numPr>
      <w:outlineLvl w:val="9"/>
    </w:pPr>
  </w:style>
  <w:style w:type="paragraph" w:styleId="Footer">
    <w:name w:val="footer"/>
    <w:basedOn w:val="Normal"/>
    <w:link w:val="FooterChar"/>
    <w:uiPriority w:val="99"/>
    <w:rsid w:val="006B6276"/>
    <w:pPr>
      <w:pBdr>
        <w:top w:val="single" w:sz="4" w:space="3" w:color="auto"/>
      </w:pBdr>
      <w:tabs>
        <w:tab w:val="clear" w:pos="357"/>
        <w:tab w:val="right" w:pos="369"/>
      </w:tabs>
      <w:spacing w:after="0" w:line="200" w:lineRule="exact"/>
    </w:pPr>
    <w:rPr>
      <w:rFonts w:ascii="Calibri Light" w:hAnsi="Calibri Light"/>
      <w:color w:val="000000" w:themeColor="text2"/>
      <w:sz w:val="13"/>
    </w:rPr>
  </w:style>
  <w:style w:type="character" w:customStyle="1" w:styleId="FooterChar">
    <w:name w:val="Footer Char"/>
    <w:basedOn w:val="DefaultParagraphFont"/>
    <w:link w:val="Footer"/>
    <w:uiPriority w:val="99"/>
    <w:rsid w:val="006B6276"/>
    <w:rPr>
      <w:rFonts w:ascii="Calibri Light" w:hAnsi="Calibri Light"/>
      <w:color w:val="000000" w:themeColor="text2"/>
      <w:sz w:val="13"/>
    </w:rPr>
  </w:style>
  <w:style w:type="paragraph" w:styleId="ListBullet3">
    <w:name w:val="List Bullet 3"/>
    <w:basedOn w:val="Normal"/>
    <w:uiPriority w:val="14"/>
    <w:qFormat/>
    <w:rsid w:val="004030E7"/>
    <w:pPr>
      <w:numPr>
        <w:ilvl w:val="2"/>
        <w:numId w:val="7"/>
      </w:numPr>
    </w:pPr>
  </w:style>
  <w:style w:type="paragraph" w:styleId="ListBullet4">
    <w:name w:val="List Bullet 4"/>
    <w:basedOn w:val="Normal"/>
    <w:uiPriority w:val="99"/>
    <w:semiHidden/>
    <w:qFormat/>
    <w:rsid w:val="00372E2B"/>
    <w:pPr>
      <w:numPr>
        <w:numId w:val="0"/>
      </w:numPr>
      <w:spacing w:before="85"/>
    </w:pPr>
  </w:style>
  <w:style w:type="table" w:styleId="TableGrid">
    <w:name w:val="Table Grid"/>
    <w:basedOn w:val="TableNormal"/>
    <w:uiPriority w:val="59"/>
    <w:rsid w:val="00A9054A"/>
    <w:pPr>
      <w:spacing w:before="57" w:after="57"/>
      <w:jc w:val="center"/>
    </w:pPr>
    <w:rPr>
      <w:color w:val="000000" w:themeColor="text2"/>
      <w:sz w:val="20"/>
    </w:rPr>
    <w:tblPr>
      <w:tblStyleRowBandSize w:val="1"/>
      <w:tblStyleColBandSize w:val="1"/>
      <w:tblBorders>
        <w:bottom w:val="single" w:sz="8" w:space="0" w:color="E37222" w:themeColor="accent1"/>
      </w:tblBorders>
      <w:tblCellMar>
        <w:left w:w="91" w:type="dxa"/>
        <w:right w:w="91" w:type="dxa"/>
      </w:tblCellMar>
    </w:tblPr>
    <w:tcPr>
      <w:shd w:val="clear" w:color="auto" w:fill="auto"/>
    </w:tcPr>
    <w:tblStylePr w:type="firstRow">
      <w:rPr>
        <w:rFonts w:ascii="Arial" w:hAnsi="Arial"/>
        <w:b/>
        <w:color w:val="000000" w:themeColor="text2"/>
        <w:sz w:val="20"/>
      </w:rPr>
      <w:tblPr/>
      <w:trPr>
        <w:tblHeader/>
      </w:trPr>
      <w:tcPr>
        <w:tcBorders>
          <w:top w:val="single" w:sz="4" w:space="0" w:color="E37222" w:themeColor="accent1"/>
          <w:left w:val="nil"/>
          <w:bottom w:val="single" w:sz="4" w:space="0" w:color="E37222" w:themeColor="accent1"/>
          <w:right w:val="nil"/>
          <w:insideH w:val="nil"/>
          <w:insideV w:val="nil"/>
          <w:tl2br w:val="nil"/>
          <w:tr2bl w:val="nil"/>
        </w:tcBorders>
        <w:shd w:val="solid" w:color="FBBC86" w:fill="FBBC86"/>
      </w:tcPr>
    </w:tblStylePr>
    <w:tblStylePr w:type="lastRow">
      <w:rPr>
        <w:rFonts w:ascii="Arial" w:hAnsi="Arial"/>
        <w:b/>
        <w:sz w:val="20"/>
      </w:rPr>
      <w:tblPr/>
      <w:tcPr>
        <w:tcBorders>
          <w:top w:val="single" w:sz="8" w:space="0" w:color="E37222" w:themeColor="accent1"/>
          <w:left w:val="nil"/>
          <w:bottom w:val="single" w:sz="8" w:space="0" w:color="E37222" w:themeColor="accent1"/>
          <w:right w:val="nil"/>
          <w:insideH w:val="nil"/>
          <w:insideV w:val="nil"/>
          <w:tl2br w:val="nil"/>
          <w:tr2bl w:val="nil"/>
        </w:tcBorders>
      </w:tcPr>
    </w:tblStylePr>
    <w:tblStylePr w:type="firstCol">
      <w:pPr>
        <w:jc w:val="left"/>
      </w:pPr>
      <w:rPr>
        <w:b/>
      </w:rPr>
    </w:tblStylePr>
    <w:tblStylePr w:type="lastCol">
      <w:pPr>
        <w:jc w:val="right"/>
      </w:pPr>
    </w:tblStylePr>
    <w:tblStylePr w:type="band1Vert">
      <w:tblPr/>
      <w:tcPr>
        <w:shd w:val="clear" w:color="auto" w:fill="F9E2D2" w:themeFill="accent1" w:themeFillTint="33"/>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9E2D2" w:themeFill="accent1" w:themeFillTint="33"/>
      </w:tcPr>
    </w:tblStylePr>
  </w:style>
  <w:style w:type="paragraph" w:styleId="Caption">
    <w:name w:val="caption"/>
    <w:basedOn w:val="Normal"/>
    <w:next w:val="Normal"/>
    <w:uiPriority w:val="35"/>
    <w:qFormat/>
    <w:rsid w:val="00D55596"/>
    <w:pPr>
      <w:spacing w:before="60" w:after="0"/>
    </w:pPr>
    <w:rPr>
      <w:b/>
      <w:bCs/>
      <w:sz w:val="20"/>
      <w:szCs w:val="18"/>
    </w:rPr>
  </w:style>
  <w:style w:type="paragraph" w:styleId="Header">
    <w:name w:val="header"/>
    <w:basedOn w:val="Normal"/>
    <w:link w:val="HeaderChar"/>
    <w:uiPriority w:val="42"/>
    <w:rsid w:val="009C14DD"/>
    <w:pPr>
      <w:tabs>
        <w:tab w:val="center" w:pos="4513"/>
        <w:tab w:val="right" w:pos="9026"/>
      </w:tabs>
      <w:spacing w:line="240" w:lineRule="auto"/>
      <w:jc w:val="right"/>
    </w:pPr>
    <w:rPr>
      <w:color w:val="E37222" w:themeColor="accent1"/>
      <w:sz w:val="13"/>
    </w:rPr>
  </w:style>
  <w:style w:type="character" w:customStyle="1" w:styleId="HeaderChar">
    <w:name w:val="Header Char"/>
    <w:basedOn w:val="DefaultParagraphFont"/>
    <w:link w:val="Header"/>
    <w:uiPriority w:val="42"/>
    <w:rsid w:val="009C14DD"/>
    <w:rPr>
      <w:color w:val="E37222" w:themeColor="accent1"/>
      <w:sz w:val="13"/>
    </w:rPr>
  </w:style>
  <w:style w:type="paragraph" w:styleId="BalloonText">
    <w:name w:val="Balloon Text"/>
    <w:basedOn w:val="Normal"/>
    <w:link w:val="BalloonTextChar"/>
    <w:uiPriority w:val="99"/>
    <w:semiHidden/>
    <w:unhideWhenUsed/>
    <w:locked/>
    <w:rsid w:val="00372E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2B"/>
    <w:rPr>
      <w:rFonts w:ascii="Tahoma" w:hAnsi="Tahoma" w:cs="Tahoma"/>
      <w:sz w:val="16"/>
      <w:szCs w:val="16"/>
    </w:rPr>
  </w:style>
  <w:style w:type="character" w:styleId="PlaceholderText">
    <w:name w:val="Placeholder Text"/>
    <w:basedOn w:val="DefaultParagraphFont"/>
    <w:uiPriority w:val="99"/>
    <w:rsid w:val="004030E7"/>
    <w:rPr>
      <w:noProof w:val="0"/>
      <w:color w:val="000000" w:themeColor="text2"/>
      <w:sz w:val="22"/>
      <w:lang w:val="en-AU"/>
    </w:rPr>
  </w:style>
  <w:style w:type="paragraph" w:styleId="ListNumber4">
    <w:name w:val="List Number 4"/>
    <w:basedOn w:val="Normal"/>
    <w:uiPriority w:val="16"/>
    <w:semiHidden/>
    <w:qFormat/>
    <w:rsid w:val="00372E2B"/>
    <w:pPr>
      <w:spacing w:before="85"/>
    </w:pPr>
  </w:style>
  <w:style w:type="character" w:styleId="Hyperlink">
    <w:name w:val="Hyperlink"/>
    <w:basedOn w:val="DefaultParagraphFont"/>
    <w:uiPriority w:val="99"/>
    <w:rsid w:val="009906D1"/>
    <w:rPr>
      <w:noProof w:val="0"/>
      <w:color w:val="1F5D9E" w:themeColor="accent2"/>
      <w:u w:val="single"/>
      <w:lang w:val="en-AU"/>
    </w:rPr>
  </w:style>
  <w:style w:type="paragraph" w:styleId="Bibliography">
    <w:name w:val="Bibliography"/>
    <w:basedOn w:val="Normal"/>
    <w:next w:val="Normal"/>
    <w:uiPriority w:val="37"/>
    <w:semiHidden/>
    <w:unhideWhenUsed/>
    <w:locked/>
    <w:rsid w:val="00372E2B"/>
  </w:style>
  <w:style w:type="paragraph" w:styleId="BlockText">
    <w:name w:val="Block Text"/>
    <w:basedOn w:val="Normal"/>
    <w:uiPriority w:val="99"/>
    <w:semiHidden/>
    <w:unhideWhenUsed/>
    <w:locked/>
    <w:rsid w:val="00372E2B"/>
    <w:pPr>
      <w:pBdr>
        <w:top w:val="single" w:sz="2" w:space="10" w:color="E37222" w:themeColor="accent1"/>
        <w:left w:val="single" w:sz="2" w:space="10" w:color="E37222" w:themeColor="accent1"/>
        <w:bottom w:val="single" w:sz="2" w:space="10" w:color="E37222" w:themeColor="accent1"/>
        <w:right w:val="single" w:sz="2" w:space="10" w:color="E37222" w:themeColor="accent1"/>
      </w:pBdr>
      <w:ind w:left="1152" w:right="1152"/>
    </w:pPr>
    <w:rPr>
      <w:rFonts w:asciiTheme="minorHAnsi" w:eastAsiaTheme="minorEastAsia" w:hAnsiTheme="minorHAnsi"/>
      <w:i/>
      <w:iCs/>
      <w:color w:val="E37222" w:themeColor="accent1"/>
    </w:rPr>
  </w:style>
  <w:style w:type="paragraph" w:styleId="BodyText">
    <w:name w:val="Body Text"/>
    <w:aliases w:val="Body Text (for Web)"/>
    <w:basedOn w:val="Normal"/>
    <w:link w:val="BodyTextChar"/>
    <w:uiPriority w:val="1"/>
    <w:qFormat/>
    <w:rsid w:val="00DC6AA6"/>
  </w:style>
  <w:style w:type="character" w:customStyle="1" w:styleId="BodyTextChar">
    <w:name w:val="Body Text Char"/>
    <w:aliases w:val="Body Text (for Web) Char"/>
    <w:basedOn w:val="DefaultParagraphFont"/>
    <w:link w:val="BodyText"/>
    <w:uiPriority w:val="1"/>
    <w:rsid w:val="00DC6AA6"/>
  </w:style>
  <w:style w:type="paragraph" w:styleId="BodyText2">
    <w:name w:val="Body Text 2"/>
    <w:basedOn w:val="Normal"/>
    <w:link w:val="BodyText2Char"/>
    <w:uiPriority w:val="99"/>
    <w:semiHidden/>
    <w:unhideWhenUsed/>
    <w:locked/>
    <w:rsid w:val="00372E2B"/>
    <w:pPr>
      <w:spacing w:line="480" w:lineRule="auto"/>
    </w:pPr>
  </w:style>
  <w:style w:type="character" w:customStyle="1" w:styleId="BodyText2Char">
    <w:name w:val="Body Text 2 Char"/>
    <w:basedOn w:val="DefaultParagraphFont"/>
    <w:link w:val="BodyText2"/>
    <w:uiPriority w:val="99"/>
    <w:semiHidden/>
    <w:rsid w:val="00372E2B"/>
    <w:rPr>
      <w:sz w:val="22"/>
      <w:szCs w:val="22"/>
    </w:rPr>
  </w:style>
  <w:style w:type="paragraph" w:styleId="BodyText3">
    <w:name w:val="Body Text 3"/>
    <w:basedOn w:val="Normal"/>
    <w:link w:val="BodyText3Char"/>
    <w:uiPriority w:val="99"/>
    <w:semiHidden/>
    <w:unhideWhenUsed/>
    <w:locked/>
    <w:rsid w:val="00372E2B"/>
    <w:rPr>
      <w:sz w:val="16"/>
      <w:szCs w:val="16"/>
    </w:rPr>
  </w:style>
  <w:style w:type="character" w:customStyle="1" w:styleId="BodyText3Char">
    <w:name w:val="Body Text 3 Char"/>
    <w:basedOn w:val="DefaultParagraphFont"/>
    <w:link w:val="BodyText3"/>
    <w:uiPriority w:val="99"/>
    <w:semiHidden/>
    <w:rsid w:val="00372E2B"/>
    <w:rPr>
      <w:sz w:val="16"/>
      <w:szCs w:val="16"/>
    </w:rPr>
  </w:style>
  <w:style w:type="paragraph" w:styleId="BodyTextFirstIndent">
    <w:name w:val="Body Text First Indent"/>
    <w:basedOn w:val="BodyText"/>
    <w:link w:val="BodyTextFirstIndentChar"/>
    <w:uiPriority w:val="99"/>
    <w:semiHidden/>
    <w:unhideWhenUsed/>
    <w:locked/>
    <w:rsid w:val="00372E2B"/>
    <w:pPr>
      <w:spacing w:after="170"/>
      <w:ind w:firstLine="360"/>
    </w:pPr>
  </w:style>
  <w:style w:type="character" w:customStyle="1" w:styleId="BodyTextFirstIndentChar">
    <w:name w:val="Body Text First Indent Char"/>
    <w:basedOn w:val="BodyTextChar"/>
    <w:link w:val="BodyTextFirstIndent"/>
    <w:uiPriority w:val="99"/>
    <w:semiHidden/>
    <w:rsid w:val="00372E2B"/>
    <w:rPr>
      <w:sz w:val="22"/>
      <w:szCs w:val="22"/>
    </w:rPr>
  </w:style>
  <w:style w:type="paragraph" w:styleId="BodyTextIndent">
    <w:name w:val="Body Text Indent"/>
    <w:basedOn w:val="Normal"/>
    <w:link w:val="BodyTextIndentChar"/>
    <w:uiPriority w:val="99"/>
    <w:semiHidden/>
    <w:unhideWhenUsed/>
    <w:locked/>
    <w:rsid w:val="00372E2B"/>
    <w:pPr>
      <w:ind w:left="283"/>
    </w:pPr>
  </w:style>
  <w:style w:type="character" w:customStyle="1" w:styleId="BodyTextIndentChar">
    <w:name w:val="Body Text Indent Char"/>
    <w:basedOn w:val="DefaultParagraphFont"/>
    <w:link w:val="BodyTextIndent"/>
    <w:uiPriority w:val="99"/>
    <w:semiHidden/>
    <w:rsid w:val="00372E2B"/>
    <w:rPr>
      <w:sz w:val="22"/>
      <w:szCs w:val="22"/>
    </w:rPr>
  </w:style>
  <w:style w:type="paragraph" w:styleId="BodyTextFirstIndent2">
    <w:name w:val="Body Text First Indent 2"/>
    <w:basedOn w:val="BodyTextIndent"/>
    <w:link w:val="BodyTextFirstIndent2Char"/>
    <w:uiPriority w:val="99"/>
    <w:semiHidden/>
    <w:unhideWhenUsed/>
    <w:locked/>
    <w:rsid w:val="00372E2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372E2B"/>
    <w:rPr>
      <w:sz w:val="22"/>
      <w:szCs w:val="22"/>
    </w:rPr>
  </w:style>
  <w:style w:type="paragraph" w:styleId="BodyTextIndent2">
    <w:name w:val="Body Text Indent 2"/>
    <w:basedOn w:val="Normal"/>
    <w:link w:val="BodyTextIndent2Char"/>
    <w:uiPriority w:val="99"/>
    <w:semiHidden/>
    <w:unhideWhenUsed/>
    <w:locked/>
    <w:rsid w:val="00372E2B"/>
    <w:pPr>
      <w:spacing w:line="480" w:lineRule="auto"/>
      <w:ind w:left="283"/>
    </w:pPr>
  </w:style>
  <w:style w:type="character" w:customStyle="1" w:styleId="BodyTextIndent2Char">
    <w:name w:val="Body Text Indent 2 Char"/>
    <w:basedOn w:val="DefaultParagraphFont"/>
    <w:link w:val="BodyTextIndent2"/>
    <w:uiPriority w:val="99"/>
    <w:semiHidden/>
    <w:rsid w:val="00372E2B"/>
    <w:rPr>
      <w:sz w:val="22"/>
      <w:szCs w:val="22"/>
    </w:rPr>
  </w:style>
  <w:style w:type="paragraph" w:styleId="BodyTextIndent3">
    <w:name w:val="Body Text Indent 3"/>
    <w:basedOn w:val="Normal"/>
    <w:link w:val="BodyTextIndent3Char"/>
    <w:uiPriority w:val="99"/>
    <w:semiHidden/>
    <w:unhideWhenUsed/>
    <w:locked/>
    <w:rsid w:val="00372E2B"/>
    <w:pPr>
      <w:ind w:left="283"/>
    </w:pPr>
    <w:rPr>
      <w:sz w:val="16"/>
      <w:szCs w:val="16"/>
    </w:rPr>
  </w:style>
  <w:style w:type="character" w:customStyle="1" w:styleId="BodyTextIndent3Char">
    <w:name w:val="Body Text Indent 3 Char"/>
    <w:basedOn w:val="DefaultParagraphFont"/>
    <w:link w:val="BodyTextIndent3"/>
    <w:uiPriority w:val="99"/>
    <w:semiHidden/>
    <w:rsid w:val="00372E2B"/>
    <w:rPr>
      <w:sz w:val="16"/>
      <w:szCs w:val="16"/>
    </w:rPr>
  </w:style>
  <w:style w:type="character" w:styleId="BookTitle">
    <w:name w:val="Book Title"/>
    <w:basedOn w:val="DefaultParagraphFont"/>
    <w:uiPriority w:val="33"/>
    <w:semiHidden/>
    <w:qFormat/>
    <w:locked/>
    <w:rsid w:val="00372E2B"/>
    <w:rPr>
      <w:b/>
      <w:bCs/>
      <w:smallCaps/>
      <w:noProof w:val="0"/>
      <w:spacing w:val="5"/>
      <w:lang w:val="en-AU"/>
    </w:rPr>
  </w:style>
  <w:style w:type="paragraph" w:styleId="Closing">
    <w:name w:val="Closing"/>
    <w:basedOn w:val="Normal"/>
    <w:link w:val="ClosingChar"/>
    <w:uiPriority w:val="99"/>
    <w:semiHidden/>
    <w:unhideWhenUsed/>
    <w:locked/>
    <w:rsid w:val="00372E2B"/>
    <w:pPr>
      <w:spacing w:line="240" w:lineRule="auto"/>
      <w:ind w:left="4252"/>
    </w:pPr>
  </w:style>
  <w:style w:type="character" w:customStyle="1" w:styleId="ClosingChar">
    <w:name w:val="Closing Char"/>
    <w:basedOn w:val="DefaultParagraphFont"/>
    <w:link w:val="Closing"/>
    <w:uiPriority w:val="99"/>
    <w:semiHidden/>
    <w:rsid w:val="00372E2B"/>
    <w:rPr>
      <w:sz w:val="22"/>
      <w:szCs w:val="22"/>
    </w:rPr>
  </w:style>
  <w:style w:type="table" w:styleId="ColourfulGrid">
    <w:name w:val="Colorful Grid"/>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2D2" w:themeFill="accent1" w:themeFillTint="33"/>
    </w:tcPr>
    <w:tblStylePr w:type="firstRow">
      <w:rPr>
        <w:b/>
        <w:bCs/>
      </w:rPr>
      <w:tblPr/>
      <w:tcPr>
        <w:shd w:val="clear" w:color="auto" w:fill="F3C6A6" w:themeFill="accent1" w:themeFillTint="66"/>
      </w:tcPr>
    </w:tblStylePr>
    <w:tblStylePr w:type="lastRow">
      <w:rPr>
        <w:b/>
        <w:bCs/>
        <w:color w:val="000000" w:themeColor="text1"/>
      </w:rPr>
      <w:tblPr/>
      <w:tcPr>
        <w:shd w:val="clear" w:color="auto" w:fill="F3C6A6" w:themeFill="accent1" w:themeFillTint="66"/>
      </w:tcPr>
    </w:tblStylePr>
    <w:tblStylePr w:type="firstCol">
      <w:rPr>
        <w:color w:val="FFFFFF" w:themeColor="background1"/>
      </w:rPr>
      <w:tblPr/>
      <w:tcPr>
        <w:shd w:val="clear" w:color="auto" w:fill="AD5416" w:themeFill="accent1" w:themeFillShade="BF"/>
      </w:tcPr>
    </w:tblStylePr>
    <w:tblStylePr w:type="lastCol">
      <w:rPr>
        <w:color w:val="FFFFFF" w:themeColor="background1"/>
      </w:rPr>
      <w:tblPr/>
      <w:tcPr>
        <w:shd w:val="clear" w:color="auto" w:fill="AD5416" w:themeFill="accent1" w:themeFillShade="BF"/>
      </w:tcPr>
    </w:tblStylePr>
    <w:tblStylePr w:type="band1Vert">
      <w:tblPr/>
      <w:tcPr>
        <w:shd w:val="clear" w:color="auto" w:fill="F1B890" w:themeFill="accent1" w:themeFillTint="7F"/>
      </w:tcPr>
    </w:tblStylePr>
    <w:tblStylePr w:type="band1Horz">
      <w:tblPr/>
      <w:tcPr>
        <w:shd w:val="clear" w:color="auto" w:fill="F1B890" w:themeFill="accent1" w:themeFillTint="7F"/>
      </w:tcPr>
    </w:tblStylePr>
  </w:style>
  <w:style w:type="table" w:styleId="ColourfulGridAccent2">
    <w:name w:val="Colorful Grid Accent 2"/>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EF4" w:themeFill="accent2" w:themeFillTint="33"/>
    </w:tcPr>
    <w:tblStylePr w:type="firstRow">
      <w:rPr>
        <w:b/>
        <w:bCs/>
      </w:rPr>
      <w:tblPr/>
      <w:tcPr>
        <w:shd w:val="clear" w:color="auto" w:fill="93BDEA" w:themeFill="accent2" w:themeFillTint="66"/>
      </w:tcPr>
    </w:tblStylePr>
    <w:tblStylePr w:type="lastRow">
      <w:rPr>
        <w:b/>
        <w:bCs/>
        <w:color w:val="000000" w:themeColor="text1"/>
      </w:rPr>
      <w:tblPr/>
      <w:tcPr>
        <w:shd w:val="clear" w:color="auto" w:fill="93BDEA" w:themeFill="accent2" w:themeFillTint="66"/>
      </w:tcPr>
    </w:tblStylePr>
    <w:tblStylePr w:type="firstCol">
      <w:rPr>
        <w:color w:val="FFFFFF" w:themeColor="background1"/>
      </w:rPr>
      <w:tblPr/>
      <w:tcPr>
        <w:shd w:val="clear" w:color="auto" w:fill="174576" w:themeFill="accent2" w:themeFillShade="BF"/>
      </w:tcPr>
    </w:tblStylePr>
    <w:tblStylePr w:type="lastCol">
      <w:rPr>
        <w:color w:val="FFFFFF" w:themeColor="background1"/>
      </w:rPr>
      <w:tblPr/>
      <w:tcPr>
        <w:shd w:val="clear" w:color="auto" w:fill="174576" w:themeFill="accent2" w:themeFillShade="BF"/>
      </w:tcPr>
    </w:tblStylePr>
    <w:tblStylePr w:type="band1Vert">
      <w:tblPr/>
      <w:tcPr>
        <w:shd w:val="clear" w:color="auto" w:fill="79ADE4" w:themeFill="accent2" w:themeFillTint="7F"/>
      </w:tcPr>
    </w:tblStylePr>
    <w:tblStylePr w:type="band1Horz">
      <w:tblPr/>
      <w:tcPr>
        <w:shd w:val="clear" w:color="auto" w:fill="79ADE4" w:themeFill="accent2" w:themeFillTint="7F"/>
      </w:tcPr>
    </w:tblStylePr>
  </w:style>
  <w:style w:type="table" w:styleId="ColourfulGridAccent3">
    <w:name w:val="Colorful Grid Accent 3"/>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3F1" w:themeFill="accent3" w:themeFillTint="33"/>
    </w:tcPr>
    <w:tblStylePr w:type="firstRow">
      <w:rPr>
        <w:b/>
        <w:bCs/>
      </w:rPr>
      <w:tblPr/>
      <w:tcPr>
        <w:shd w:val="clear" w:color="auto" w:fill="CAE8E3" w:themeFill="accent3" w:themeFillTint="66"/>
      </w:tcPr>
    </w:tblStylePr>
    <w:tblStylePr w:type="lastRow">
      <w:rPr>
        <w:b/>
        <w:bCs/>
        <w:color w:val="000000" w:themeColor="text1"/>
      </w:rPr>
      <w:tblPr/>
      <w:tcPr>
        <w:shd w:val="clear" w:color="auto" w:fill="CAE8E3" w:themeFill="accent3" w:themeFillTint="66"/>
      </w:tcPr>
    </w:tblStylePr>
    <w:tblStylePr w:type="firstCol">
      <w:rPr>
        <w:color w:val="FFFFFF" w:themeColor="background1"/>
      </w:rPr>
      <w:tblPr/>
      <w:tcPr>
        <w:shd w:val="clear" w:color="auto" w:fill="47A998" w:themeFill="accent3" w:themeFillShade="BF"/>
      </w:tcPr>
    </w:tblStylePr>
    <w:tblStylePr w:type="lastCol">
      <w:rPr>
        <w:color w:val="FFFFFF" w:themeColor="background1"/>
      </w:rPr>
      <w:tblPr/>
      <w:tcPr>
        <w:shd w:val="clear" w:color="auto" w:fill="47A998" w:themeFill="accent3" w:themeFillShade="BF"/>
      </w:tcPr>
    </w:tblStylePr>
    <w:tblStylePr w:type="band1Vert">
      <w:tblPr/>
      <w:tcPr>
        <w:shd w:val="clear" w:color="auto" w:fill="BDE3DC" w:themeFill="accent3" w:themeFillTint="7F"/>
      </w:tcPr>
    </w:tblStylePr>
    <w:tblStylePr w:type="band1Horz">
      <w:tblPr/>
      <w:tcPr>
        <w:shd w:val="clear" w:color="auto" w:fill="BDE3DC" w:themeFill="accent3" w:themeFillTint="7F"/>
      </w:tcPr>
    </w:tblStylePr>
  </w:style>
  <w:style w:type="table" w:styleId="ColourfulGridAccent4">
    <w:name w:val="Colorful Grid Accent 4"/>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CC" w:themeFill="accent4" w:themeFillTint="33"/>
    </w:tcPr>
    <w:tblStylePr w:type="firstRow">
      <w:rPr>
        <w:b/>
        <w:bCs/>
      </w:rPr>
      <w:tblPr/>
      <w:tcPr>
        <w:shd w:val="clear" w:color="auto" w:fill="FFED99" w:themeFill="accent4" w:themeFillTint="66"/>
      </w:tcPr>
    </w:tblStylePr>
    <w:tblStylePr w:type="lastRow">
      <w:rPr>
        <w:b/>
        <w:bCs/>
        <w:color w:val="000000" w:themeColor="text1"/>
      </w:rPr>
      <w:tblPr/>
      <w:tcPr>
        <w:shd w:val="clear" w:color="auto" w:fill="FFED99" w:themeFill="accent4" w:themeFillTint="66"/>
      </w:tcPr>
    </w:tblStylePr>
    <w:tblStylePr w:type="firstCol">
      <w:rPr>
        <w:color w:val="FFFFFF" w:themeColor="background1"/>
      </w:rPr>
      <w:tblPr/>
      <w:tcPr>
        <w:shd w:val="clear" w:color="auto" w:fill="BF9E00" w:themeFill="accent4" w:themeFillShade="BF"/>
      </w:tcPr>
    </w:tblStylePr>
    <w:tblStylePr w:type="lastCol">
      <w:rPr>
        <w:color w:val="FFFFFF" w:themeColor="background1"/>
      </w:rPr>
      <w:tblPr/>
      <w:tcPr>
        <w:shd w:val="clear" w:color="auto" w:fill="BF9E00" w:themeFill="accent4" w:themeFillShade="BF"/>
      </w:tcPr>
    </w:tblStylePr>
    <w:tblStylePr w:type="band1Vert">
      <w:tblPr/>
      <w:tcPr>
        <w:shd w:val="clear" w:color="auto" w:fill="FFE980" w:themeFill="accent4" w:themeFillTint="7F"/>
      </w:tcPr>
    </w:tblStylePr>
    <w:tblStylePr w:type="band1Horz">
      <w:tblPr/>
      <w:tcPr>
        <w:shd w:val="clear" w:color="auto" w:fill="FFE980" w:themeFill="accent4" w:themeFillTint="7F"/>
      </w:tcPr>
    </w:tblStylePr>
  </w:style>
  <w:style w:type="table" w:styleId="ColourfulGridAccent5">
    <w:name w:val="Colorful Grid Accent 5"/>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DFB" w:themeFill="accent5" w:themeFillTint="33"/>
    </w:tcPr>
    <w:tblStylePr w:type="firstRow">
      <w:rPr>
        <w:b/>
        <w:bCs/>
      </w:rPr>
      <w:tblPr/>
      <w:tcPr>
        <w:shd w:val="clear" w:color="auto" w:fill="75FCF8" w:themeFill="accent5" w:themeFillTint="66"/>
      </w:tcPr>
    </w:tblStylePr>
    <w:tblStylePr w:type="lastRow">
      <w:rPr>
        <w:b/>
        <w:bCs/>
        <w:color w:val="000000" w:themeColor="text1"/>
      </w:rPr>
      <w:tblPr/>
      <w:tcPr>
        <w:shd w:val="clear" w:color="auto" w:fill="75FCF8" w:themeFill="accent5" w:themeFillTint="66"/>
      </w:tcPr>
    </w:tblStylePr>
    <w:tblStylePr w:type="firstCol">
      <w:rPr>
        <w:color w:val="FFFFFF" w:themeColor="background1"/>
      </w:rPr>
      <w:tblPr/>
      <w:tcPr>
        <w:shd w:val="clear" w:color="auto" w:fill="027672" w:themeFill="accent5" w:themeFillShade="BF"/>
      </w:tcPr>
    </w:tblStylePr>
    <w:tblStylePr w:type="lastCol">
      <w:rPr>
        <w:color w:val="FFFFFF" w:themeColor="background1"/>
      </w:rPr>
      <w:tblPr/>
      <w:tcPr>
        <w:shd w:val="clear" w:color="auto" w:fill="027672" w:themeFill="accent5" w:themeFillShade="BF"/>
      </w:tcPr>
    </w:tblStylePr>
    <w:tblStylePr w:type="band1Vert">
      <w:tblPr/>
      <w:tcPr>
        <w:shd w:val="clear" w:color="auto" w:fill="54FBF7" w:themeFill="accent5" w:themeFillTint="7F"/>
      </w:tcPr>
    </w:tblStylePr>
    <w:tblStylePr w:type="band1Horz">
      <w:tblPr/>
      <w:tcPr>
        <w:shd w:val="clear" w:color="auto" w:fill="54FBF7" w:themeFill="accent5" w:themeFillTint="7F"/>
      </w:tcPr>
    </w:tblStylePr>
  </w:style>
  <w:style w:type="table" w:styleId="ColourfulGridAccent6">
    <w:name w:val="Colorful Grid Accent 6"/>
    <w:basedOn w:val="TableNormal"/>
    <w:uiPriority w:val="73"/>
    <w:locked/>
    <w:rsid w:val="00372E2B"/>
    <w:pPr>
      <w:spacing w:before="17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6CE" w:themeFill="accent6" w:themeFillTint="33"/>
    </w:tcPr>
    <w:tblStylePr w:type="firstRow">
      <w:rPr>
        <w:b/>
        <w:bCs/>
      </w:rPr>
      <w:tblPr/>
      <w:tcPr>
        <w:shd w:val="clear" w:color="auto" w:fill="F0AD9D" w:themeFill="accent6" w:themeFillTint="66"/>
      </w:tcPr>
    </w:tblStylePr>
    <w:tblStylePr w:type="lastRow">
      <w:rPr>
        <w:b/>
        <w:bCs/>
        <w:color w:val="000000" w:themeColor="text1"/>
      </w:rPr>
      <w:tblPr/>
      <w:tcPr>
        <w:shd w:val="clear" w:color="auto" w:fill="F0AD9D" w:themeFill="accent6" w:themeFillTint="66"/>
      </w:tcPr>
    </w:tblStylePr>
    <w:tblStylePr w:type="firstCol">
      <w:rPr>
        <w:color w:val="FFFFFF" w:themeColor="background1"/>
      </w:rPr>
      <w:tblPr/>
      <w:tcPr>
        <w:shd w:val="clear" w:color="auto" w:fill="943016" w:themeFill="accent6" w:themeFillShade="BF"/>
      </w:tcPr>
    </w:tblStylePr>
    <w:tblStylePr w:type="lastCol">
      <w:rPr>
        <w:color w:val="FFFFFF" w:themeColor="background1"/>
      </w:rPr>
      <w:tblPr/>
      <w:tcPr>
        <w:shd w:val="clear" w:color="auto" w:fill="943016" w:themeFill="accent6" w:themeFillShade="BF"/>
      </w:tcPr>
    </w:tblStylePr>
    <w:tblStylePr w:type="band1Vert">
      <w:tblPr/>
      <w:tcPr>
        <w:shd w:val="clear" w:color="auto" w:fill="EC9A85" w:themeFill="accent6" w:themeFillTint="7F"/>
      </w:tcPr>
    </w:tblStylePr>
    <w:tblStylePr w:type="band1Horz">
      <w:tblPr/>
      <w:tcPr>
        <w:shd w:val="clear" w:color="auto" w:fill="EC9A85" w:themeFill="accent6" w:themeFillTint="7F"/>
      </w:tcPr>
    </w:tblStylePr>
  </w:style>
  <w:style w:type="table" w:styleId="ColourfulList">
    <w:name w:val="Colorful List"/>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84A7E" w:themeFill="accent2" w:themeFillShade="CC"/>
      </w:tcPr>
    </w:tblStylePr>
    <w:tblStylePr w:type="lastRow">
      <w:rPr>
        <w:b/>
        <w:bCs/>
        <w:color w:val="184A7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FCF0E9" w:themeFill="accent1" w:themeFillTint="19"/>
    </w:tcPr>
    <w:tblStylePr w:type="firstRow">
      <w:rPr>
        <w:b/>
        <w:bCs/>
        <w:color w:val="FFFFFF" w:themeColor="background1"/>
      </w:rPr>
      <w:tblPr/>
      <w:tcPr>
        <w:tcBorders>
          <w:bottom w:val="single" w:sz="12" w:space="0" w:color="FFFFFF" w:themeColor="background1"/>
        </w:tcBorders>
        <w:shd w:val="clear" w:color="auto" w:fill="184A7E" w:themeFill="accent2" w:themeFillShade="CC"/>
      </w:tcPr>
    </w:tblStylePr>
    <w:tblStylePr w:type="lastRow">
      <w:rPr>
        <w:b/>
        <w:bCs/>
        <w:color w:val="184A7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BC8" w:themeFill="accent1" w:themeFillTint="3F"/>
      </w:tcPr>
    </w:tblStylePr>
    <w:tblStylePr w:type="band1Horz">
      <w:tblPr/>
      <w:tcPr>
        <w:shd w:val="clear" w:color="auto" w:fill="F9E2D2" w:themeFill="accent1" w:themeFillTint="33"/>
      </w:tcPr>
    </w:tblStylePr>
  </w:style>
  <w:style w:type="table" w:styleId="ColourfulListAccent2">
    <w:name w:val="Colorful List Accent 2"/>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E4EEF9" w:themeFill="accent2" w:themeFillTint="19"/>
    </w:tcPr>
    <w:tblStylePr w:type="firstRow">
      <w:rPr>
        <w:b/>
        <w:bCs/>
        <w:color w:val="FFFFFF" w:themeColor="background1"/>
      </w:rPr>
      <w:tblPr/>
      <w:tcPr>
        <w:tcBorders>
          <w:bottom w:val="single" w:sz="12" w:space="0" w:color="FFFFFF" w:themeColor="background1"/>
        </w:tcBorders>
        <w:shd w:val="clear" w:color="auto" w:fill="184A7E" w:themeFill="accent2" w:themeFillShade="CC"/>
      </w:tcPr>
    </w:tblStylePr>
    <w:tblStylePr w:type="lastRow">
      <w:rPr>
        <w:b/>
        <w:bCs/>
        <w:color w:val="184A7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D6F2" w:themeFill="accent2" w:themeFillTint="3F"/>
      </w:tcPr>
    </w:tblStylePr>
    <w:tblStylePr w:type="band1Horz">
      <w:tblPr/>
      <w:tcPr>
        <w:shd w:val="clear" w:color="auto" w:fill="C9DEF4" w:themeFill="accent2" w:themeFillTint="33"/>
      </w:tcPr>
    </w:tblStylePr>
  </w:style>
  <w:style w:type="table" w:styleId="ColourfulListAccent3">
    <w:name w:val="Colorful List Accent 3"/>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F1F9F8" w:themeFill="accent3" w:themeFillTint="19"/>
    </w:tcPr>
    <w:tblStylePr w:type="firstRow">
      <w:rPr>
        <w:b/>
        <w:bCs/>
        <w:color w:val="FFFFFF" w:themeColor="background1"/>
      </w:rPr>
      <w:tblPr/>
      <w:tcPr>
        <w:tcBorders>
          <w:bottom w:val="single" w:sz="12" w:space="0" w:color="FFFFFF" w:themeColor="background1"/>
        </w:tcBorders>
        <w:shd w:val="clear" w:color="auto" w:fill="CCA900" w:themeFill="accent4" w:themeFillShade="CC"/>
      </w:tcPr>
    </w:tblStylePr>
    <w:tblStylePr w:type="lastRow">
      <w:rPr>
        <w:b/>
        <w:bCs/>
        <w:color w:val="CCA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ED" w:themeFill="accent3" w:themeFillTint="3F"/>
      </w:tcPr>
    </w:tblStylePr>
    <w:tblStylePr w:type="band1Horz">
      <w:tblPr/>
      <w:tcPr>
        <w:shd w:val="clear" w:color="auto" w:fill="E4F3F1" w:themeFill="accent3" w:themeFillTint="33"/>
      </w:tcPr>
    </w:tblStylePr>
  </w:style>
  <w:style w:type="table" w:styleId="ColourfulListAccent4">
    <w:name w:val="Colorful List Accent 4"/>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FFFAE6" w:themeFill="accent4" w:themeFillTint="19"/>
    </w:tcPr>
    <w:tblStylePr w:type="firstRow">
      <w:rPr>
        <w:b/>
        <w:bCs/>
        <w:color w:val="FFFFFF" w:themeColor="background1"/>
      </w:rPr>
      <w:tblPr/>
      <w:tcPr>
        <w:tcBorders>
          <w:bottom w:val="single" w:sz="12" w:space="0" w:color="FFFFFF" w:themeColor="background1"/>
        </w:tcBorders>
        <w:shd w:val="clear" w:color="auto" w:fill="4DB3A2" w:themeFill="accent3" w:themeFillShade="CC"/>
      </w:tcPr>
    </w:tblStylePr>
    <w:tblStylePr w:type="lastRow">
      <w:rPr>
        <w:b/>
        <w:bCs/>
        <w:color w:val="4DB3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0" w:themeFill="accent4" w:themeFillTint="3F"/>
      </w:tcPr>
    </w:tblStylePr>
    <w:tblStylePr w:type="band1Horz">
      <w:tblPr/>
      <w:tcPr>
        <w:shd w:val="clear" w:color="auto" w:fill="FFF6CC" w:themeFill="accent4" w:themeFillTint="33"/>
      </w:tcPr>
    </w:tblStylePr>
  </w:style>
  <w:style w:type="table" w:styleId="ColourfulListAccent5">
    <w:name w:val="Colorful List Accent 5"/>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DDFEFD" w:themeFill="accent5" w:themeFillTint="19"/>
    </w:tcPr>
    <w:tblStylePr w:type="firstRow">
      <w:rPr>
        <w:b/>
        <w:bCs/>
        <w:color w:val="FFFFFF" w:themeColor="background1"/>
      </w:rPr>
      <w:tblPr/>
      <w:tcPr>
        <w:tcBorders>
          <w:bottom w:val="single" w:sz="12" w:space="0" w:color="FFFFFF" w:themeColor="background1"/>
        </w:tcBorders>
        <w:shd w:val="clear" w:color="auto" w:fill="9F3318" w:themeFill="accent6" w:themeFillShade="CC"/>
      </w:tcPr>
    </w:tblStylePr>
    <w:tblStylePr w:type="lastRow">
      <w:rPr>
        <w:b/>
        <w:bCs/>
        <w:color w:val="9F331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DFB" w:themeFill="accent5" w:themeFillTint="3F"/>
      </w:tcPr>
    </w:tblStylePr>
    <w:tblStylePr w:type="band1Horz">
      <w:tblPr/>
      <w:tcPr>
        <w:shd w:val="clear" w:color="auto" w:fill="BAFDFB" w:themeFill="accent5" w:themeFillTint="33"/>
      </w:tcPr>
    </w:tblStylePr>
  </w:style>
  <w:style w:type="table" w:styleId="ColourfulListAccent6">
    <w:name w:val="Colorful List Accent 6"/>
    <w:basedOn w:val="TableNormal"/>
    <w:uiPriority w:val="72"/>
    <w:locked/>
    <w:rsid w:val="00372E2B"/>
    <w:pPr>
      <w:spacing w:before="170" w:after="0" w:line="240" w:lineRule="auto"/>
    </w:pPr>
    <w:rPr>
      <w:color w:val="000000" w:themeColor="text1"/>
    </w:rPr>
    <w:tblPr>
      <w:tblStyleRowBandSize w:val="1"/>
      <w:tblStyleColBandSize w:val="1"/>
    </w:tblPr>
    <w:tcPr>
      <w:shd w:val="clear" w:color="auto" w:fill="FBEBE6" w:themeFill="accent6" w:themeFillTint="19"/>
    </w:tcPr>
    <w:tblStylePr w:type="firstRow">
      <w:rPr>
        <w:b/>
        <w:bCs/>
        <w:color w:val="FFFFFF" w:themeColor="background1"/>
      </w:rPr>
      <w:tblPr/>
      <w:tcPr>
        <w:tcBorders>
          <w:bottom w:val="single" w:sz="12" w:space="0" w:color="FFFFFF" w:themeColor="background1"/>
        </w:tcBorders>
        <w:shd w:val="clear" w:color="auto" w:fill="027E7A" w:themeFill="accent5" w:themeFillShade="CC"/>
      </w:tcPr>
    </w:tblStylePr>
    <w:tblStylePr w:type="lastRow">
      <w:rPr>
        <w:b/>
        <w:bCs/>
        <w:color w:val="027E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CC2" w:themeFill="accent6" w:themeFillTint="3F"/>
      </w:tcPr>
    </w:tblStylePr>
    <w:tblStylePr w:type="band1Horz">
      <w:tblPr/>
      <w:tcPr>
        <w:shd w:val="clear" w:color="auto" w:fill="F7D6CE" w:themeFill="accent6" w:themeFillTint="33"/>
      </w:tcPr>
    </w:tblStylePr>
  </w:style>
  <w:style w:type="table" w:styleId="ColourfulShading">
    <w:name w:val="Colorful Shading"/>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1F5D9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F5D9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1F5D9E" w:themeColor="accent2"/>
        <w:left w:val="single" w:sz="4" w:space="0" w:color="E37222" w:themeColor="accent1"/>
        <w:bottom w:val="single" w:sz="4" w:space="0" w:color="E37222" w:themeColor="accent1"/>
        <w:right w:val="single" w:sz="4" w:space="0" w:color="E37222" w:themeColor="accent1"/>
        <w:insideH w:val="single" w:sz="4" w:space="0" w:color="FFFFFF" w:themeColor="background1"/>
        <w:insideV w:val="single" w:sz="4" w:space="0" w:color="FFFFFF" w:themeColor="background1"/>
      </w:tblBorders>
    </w:tblPr>
    <w:tcPr>
      <w:shd w:val="clear" w:color="auto" w:fill="FCF0E9" w:themeFill="accent1" w:themeFillTint="19"/>
    </w:tcPr>
    <w:tblStylePr w:type="firstRow">
      <w:rPr>
        <w:b/>
        <w:bCs/>
      </w:rPr>
      <w:tblPr/>
      <w:tcPr>
        <w:tcBorders>
          <w:top w:val="nil"/>
          <w:left w:val="nil"/>
          <w:bottom w:val="single" w:sz="24" w:space="0" w:color="1F5D9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4311" w:themeFill="accent1" w:themeFillShade="99"/>
      </w:tcPr>
    </w:tblStylePr>
    <w:tblStylePr w:type="firstCol">
      <w:rPr>
        <w:color w:val="FFFFFF" w:themeColor="background1"/>
      </w:rPr>
      <w:tblPr/>
      <w:tcPr>
        <w:tcBorders>
          <w:top w:val="nil"/>
          <w:left w:val="nil"/>
          <w:bottom w:val="nil"/>
          <w:right w:val="nil"/>
          <w:insideH w:val="single" w:sz="4" w:space="0" w:color="8A4311" w:themeColor="accent1" w:themeShade="99"/>
          <w:insideV w:val="nil"/>
        </w:tcBorders>
        <w:shd w:val="clear" w:color="auto" w:fill="8A43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4311" w:themeFill="accent1" w:themeFillShade="99"/>
      </w:tcPr>
    </w:tblStylePr>
    <w:tblStylePr w:type="band1Vert">
      <w:tblPr/>
      <w:tcPr>
        <w:shd w:val="clear" w:color="auto" w:fill="F3C6A6" w:themeFill="accent1" w:themeFillTint="66"/>
      </w:tcPr>
    </w:tblStylePr>
    <w:tblStylePr w:type="band1Horz">
      <w:tblPr/>
      <w:tcPr>
        <w:shd w:val="clear" w:color="auto" w:fill="F1B89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1F5D9E" w:themeColor="accent2"/>
        <w:left w:val="single" w:sz="4" w:space="0" w:color="1F5D9E" w:themeColor="accent2"/>
        <w:bottom w:val="single" w:sz="4" w:space="0" w:color="1F5D9E" w:themeColor="accent2"/>
        <w:right w:val="single" w:sz="4" w:space="0" w:color="1F5D9E" w:themeColor="accent2"/>
        <w:insideH w:val="single" w:sz="4" w:space="0" w:color="FFFFFF" w:themeColor="background1"/>
        <w:insideV w:val="single" w:sz="4" w:space="0" w:color="FFFFFF" w:themeColor="background1"/>
      </w:tblBorders>
    </w:tblPr>
    <w:tcPr>
      <w:shd w:val="clear" w:color="auto" w:fill="E4EEF9" w:themeFill="accent2" w:themeFillTint="19"/>
    </w:tcPr>
    <w:tblStylePr w:type="firstRow">
      <w:rPr>
        <w:b/>
        <w:bCs/>
      </w:rPr>
      <w:tblPr/>
      <w:tcPr>
        <w:tcBorders>
          <w:top w:val="nil"/>
          <w:left w:val="nil"/>
          <w:bottom w:val="single" w:sz="24" w:space="0" w:color="1F5D9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375E" w:themeFill="accent2" w:themeFillShade="99"/>
      </w:tcPr>
    </w:tblStylePr>
    <w:tblStylePr w:type="firstCol">
      <w:rPr>
        <w:color w:val="FFFFFF" w:themeColor="background1"/>
      </w:rPr>
      <w:tblPr/>
      <w:tcPr>
        <w:tcBorders>
          <w:top w:val="nil"/>
          <w:left w:val="nil"/>
          <w:bottom w:val="nil"/>
          <w:right w:val="nil"/>
          <w:insideH w:val="single" w:sz="4" w:space="0" w:color="12375E" w:themeColor="accent2" w:themeShade="99"/>
          <w:insideV w:val="nil"/>
        </w:tcBorders>
        <w:shd w:val="clear" w:color="auto" w:fill="1237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375E" w:themeFill="accent2" w:themeFillShade="99"/>
      </w:tcPr>
    </w:tblStylePr>
    <w:tblStylePr w:type="band1Vert">
      <w:tblPr/>
      <w:tcPr>
        <w:shd w:val="clear" w:color="auto" w:fill="93BDEA" w:themeFill="accent2" w:themeFillTint="66"/>
      </w:tcPr>
    </w:tblStylePr>
    <w:tblStylePr w:type="band1Horz">
      <w:tblPr/>
      <w:tcPr>
        <w:shd w:val="clear" w:color="auto" w:fill="79ADE4"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FFD401" w:themeColor="accent4"/>
        <w:left w:val="single" w:sz="4" w:space="0" w:color="7BC7BA" w:themeColor="accent3"/>
        <w:bottom w:val="single" w:sz="4" w:space="0" w:color="7BC7BA" w:themeColor="accent3"/>
        <w:right w:val="single" w:sz="4" w:space="0" w:color="7BC7BA" w:themeColor="accent3"/>
        <w:insideH w:val="single" w:sz="4" w:space="0" w:color="FFFFFF" w:themeColor="background1"/>
        <w:insideV w:val="single" w:sz="4" w:space="0" w:color="FFFFFF" w:themeColor="background1"/>
      </w:tblBorders>
    </w:tblPr>
    <w:tcPr>
      <w:shd w:val="clear" w:color="auto" w:fill="F1F9F8" w:themeFill="accent3" w:themeFillTint="19"/>
    </w:tcPr>
    <w:tblStylePr w:type="firstRow">
      <w:rPr>
        <w:b/>
        <w:bCs/>
      </w:rPr>
      <w:tblPr/>
      <w:tcPr>
        <w:tcBorders>
          <w:top w:val="nil"/>
          <w:left w:val="nil"/>
          <w:bottom w:val="single" w:sz="24" w:space="0" w:color="FFD4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779" w:themeFill="accent3" w:themeFillShade="99"/>
      </w:tcPr>
    </w:tblStylePr>
    <w:tblStylePr w:type="firstCol">
      <w:rPr>
        <w:color w:val="FFFFFF" w:themeColor="background1"/>
      </w:rPr>
      <w:tblPr/>
      <w:tcPr>
        <w:tcBorders>
          <w:top w:val="nil"/>
          <w:left w:val="nil"/>
          <w:bottom w:val="nil"/>
          <w:right w:val="nil"/>
          <w:insideH w:val="single" w:sz="4" w:space="0" w:color="398779" w:themeColor="accent3" w:themeShade="99"/>
          <w:insideV w:val="nil"/>
        </w:tcBorders>
        <w:shd w:val="clear" w:color="auto" w:fill="39877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779" w:themeFill="accent3" w:themeFillShade="99"/>
      </w:tcPr>
    </w:tblStylePr>
    <w:tblStylePr w:type="band1Vert">
      <w:tblPr/>
      <w:tcPr>
        <w:shd w:val="clear" w:color="auto" w:fill="CAE8E3" w:themeFill="accent3" w:themeFillTint="66"/>
      </w:tcPr>
    </w:tblStylePr>
    <w:tblStylePr w:type="band1Horz">
      <w:tblPr/>
      <w:tcPr>
        <w:shd w:val="clear" w:color="auto" w:fill="BDE3DC" w:themeFill="accent3" w:themeFillTint="7F"/>
      </w:tcPr>
    </w:tblStylePr>
  </w:style>
  <w:style w:type="table" w:styleId="ColourfulShadingAccent4">
    <w:name w:val="Colorful Shading Accent 4"/>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7BC7BA" w:themeColor="accent3"/>
        <w:left w:val="single" w:sz="4" w:space="0" w:color="FFD401" w:themeColor="accent4"/>
        <w:bottom w:val="single" w:sz="4" w:space="0" w:color="FFD401" w:themeColor="accent4"/>
        <w:right w:val="single" w:sz="4" w:space="0" w:color="FFD401" w:themeColor="accent4"/>
        <w:insideH w:val="single" w:sz="4" w:space="0" w:color="FFFFFF" w:themeColor="background1"/>
        <w:insideV w:val="single" w:sz="4" w:space="0" w:color="FFFFFF" w:themeColor="background1"/>
      </w:tblBorders>
    </w:tblPr>
    <w:tcPr>
      <w:shd w:val="clear" w:color="auto" w:fill="FFFAE6" w:themeFill="accent4" w:themeFillTint="19"/>
    </w:tcPr>
    <w:tblStylePr w:type="firstRow">
      <w:rPr>
        <w:b/>
        <w:bCs/>
      </w:rPr>
      <w:tblPr/>
      <w:tcPr>
        <w:tcBorders>
          <w:top w:val="nil"/>
          <w:left w:val="nil"/>
          <w:bottom w:val="single" w:sz="24" w:space="0" w:color="7BC7B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E00" w:themeFill="accent4" w:themeFillShade="99"/>
      </w:tcPr>
    </w:tblStylePr>
    <w:tblStylePr w:type="firstCol">
      <w:rPr>
        <w:color w:val="FFFFFF" w:themeColor="background1"/>
      </w:rPr>
      <w:tblPr/>
      <w:tcPr>
        <w:tcBorders>
          <w:top w:val="nil"/>
          <w:left w:val="nil"/>
          <w:bottom w:val="nil"/>
          <w:right w:val="nil"/>
          <w:insideH w:val="single" w:sz="4" w:space="0" w:color="997E00" w:themeColor="accent4" w:themeShade="99"/>
          <w:insideV w:val="nil"/>
        </w:tcBorders>
        <w:shd w:val="clear" w:color="auto" w:fill="997E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E00" w:themeFill="accent4" w:themeFillShade="99"/>
      </w:tcPr>
    </w:tblStylePr>
    <w:tblStylePr w:type="band1Vert">
      <w:tblPr/>
      <w:tcPr>
        <w:shd w:val="clear" w:color="auto" w:fill="FFED99" w:themeFill="accent4" w:themeFillTint="66"/>
      </w:tcPr>
    </w:tblStylePr>
    <w:tblStylePr w:type="band1Horz">
      <w:tblPr/>
      <w:tcPr>
        <w:shd w:val="clear" w:color="auto" w:fill="FFE9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C7411E" w:themeColor="accent6"/>
        <w:left w:val="single" w:sz="4" w:space="0" w:color="039E9A" w:themeColor="accent5"/>
        <w:bottom w:val="single" w:sz="4" w:space="0" w:color="039E9A" w:themeColor="accent5"/>
        <w:right w:val="single" w:sz="4" w:space="0" w:color="039E9A" w:themeColor="accent5"/>
        <w:insideH w:val="single" w:sz="4" w:space="0" w:color="FFFFFF" w:themeColor="background1"/>
        <w:insideV w:val="single" w:sz="4" w:space="0" w:color="FFFFFF" w:themeColor="background1"/>
      </w:tblBorders>
    </w:tblPr>
    <w:tcPr>
      <w:shd w:val="clear" w:color="auto" w:fill="DDFEFD" w:themeFill="accent5" w:themeFillTint="19"/>
    </w:tcPr>
    <w:tblStylePr w:type="firstRow">
      <w:rPr>
        <w:b/>
        <w:bCs/>
      </w:rPr>
      <w:tblPr/>
      <w:tcPr>
        <w:tcBorders>
          <w:top w:val="nil"/>
          <w:left w:val="nil"/>
          <w:bottom w:val="single" w:sz="24" w:space="0" w:color="C741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E5B" w:themeFill="accent5" w:themeFillShade="99"/>
      </w:tcPr>
    </w:tblStylePr>
    <w:tblStylePr w:type="firstCol">
      <w:rPr>
        <w:color w:val="FFFFFF" w:themeColor="background1"/>
      </w:rPr>
      <w:tblPr/>
      <w:tcPr>
        <w:tcBorders>
          <w:top w:val="nil"/>
          <w:left w:val="nil"/>
          <w:bottom w:val="nil"/>
          <w:right w:val="nil"/>
          <w:insideH w:val="single" w:sz="4" w:space="0" w:color="015E5B" w:themeColor="accent5" w:themeShade="99"/>
          <w:insideV w:val="nil"/>
        </w:tcBorders>
        <w:shd w:val="clear" w:color="auto" w:fill="015E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15E5B" w:themeFill="accent5" w:themeFillShade="99"/>
      </w:tcPr>
    </w:tblStylePr>
    <w:tblStylePr w:type="band1Vert">
      <w:tblPr/>
      <w:tcPr>
        <w:shd w:val="clear" w:color="auto" w:fill="75FCF8" w:themeFill="accent5" w:themeFillTint="66"/>
      </w:tcPr>
    </w:tblStylePr>
    <w:tblStylePr w:type="band1Horz">
      <w:tblPr/>
      <w:tcPr>
        <w:shd w:val="clear" w:color="auto" w:fill="54FBF7"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372E2B"/>
    <w:pPr>
      <w:spacing w:before="170" w:after="0" w:line="240" w:lineRule="auto"/>
    </w:pPr>
    <w:rPr>
      <w:color w:val="000000" w:themeColor="text1"/>
    </w:rPr>
    <w:tblPr>
      <w:tblStyleRowBandSize w:val="1"/>
      <w:tblStyleColBandSize w:val="1"/>
      <w:tblBorders>
        <w:top w:val="single" w:sz="24" w:space="0" w:color="039E9A" w:themeColor="accent5"/>
        <w:left w:val="single" w:sz="4" w:space="0" w:color="C7411E" w:themeColor="accent6"/>
        <w:bottom w:val="single" w:sz="4" w:space="0" w:color="C7411E" w:themeColor="accent6"/>
        <w:right w:val="single" w:sz="4" w:space="0" w:color="C7411E" w:themeColor="accent6"/>
        <w:insideH w:val="single" w:sz="4" w:space="0" w:color="FFFFFF" w:themeColor="background1"/>
        <w:insideV w:val="single" w:sz="4" w:space="0" w:color="FFFFFF" w:themeColor="background1"/>
      </w:tblBorders>
    </w:tblPr>
    <w:tcPr>
      <w:shd w:val="clear" w:color="auto" w:fill="FBEBE6" w:themeFill="accent6" w:themeFillTint="19"/>
    </w:tcPr>
    <w:tblStylePr w:type="firstRow">
      <w:rPr>
        <w:b/>
        <w:bCs/>
      </w:rPr>
      <w:tblPr/>
      <w:tcPr>
        <w:tcBorders>
          <w:top w:val="nil"/>
          <w:left w:val="nil"/>
          <w:bottom w:val="single" w:sz="24" w:space="0" w:color="039E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612" w:themeFill="accent6" w:themeFillShade="99"/>
      </w:tcPr>
    </w:tblStylePr>
    <w:tblStylePr w:type="firstCol">
      <w:rPr>
        <w:color w:val="FFFFFF" w:themeColor="background1"/>
      </w:rPr>
      <w:tblPr/>
      <w:tcPr>
        <w:tcBorders>
          <w:top w:val="nil"/>
          <w:left w:val="nil"/>
          <w:bottom w:val="nil"/>
          <w:right w:val="nil"/>
          <w:insideH w:val="single" w:sz="4" w:space="0" w:color="772612" w:themeColor="accent6" w:themeShade="99"/>
          <w:insideV w:val="nil"/>
        </w:tcBorders>
        <w:shd w:val="clear" w:color="auto" w:fill="7726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2612" w:themeFill="accent6" w:themeFillShade="99"/>
      </w:tcPr>
    </w:tblStylePr>
    <w:tblStylePr w:type="band1Vert">
      <w:tblPr/>
      <w:tcPr>
        <w:shd w:val="clear" w:color="auto" w:fill="F0AD9D" w:themeFill="accent6" w:themeFillTint="66"/>
      </w:tcPr>
    </w:tblStylePr>
    <w:tblStylePr w:type="band1Horz">
      <w:tblPr/>
      <w:tcPr>
        <w:shd w:val="clear" w:color="auto" w:fill="EC9A8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372E2B"/>
    <w:rPr>
      <w:noProof w:val="0"/>
      <w:sz w:val="16"/>
      <w:szCs w:val="16"/>
      <w:lang w:val="en-AU"/>
    </w:rPr>
  </w:style>
  <w:style w:type="paragraph" w:styleId="CommentText">
    <w:name w:val="annotation text"/>
    <w:basedOn w:val="Normal"/>
    <w:link w:val="CommentTextChar"/>
    <w:uiPriority w:val="99"/>
    <w:semiHidden/>
    <w:unhideWhenUsed/>
    <w:locked/>
    <w:rsid w:val="00372E2B"/>
    <w:pPr>
      <w:spacing w:line="240" w:lineRule="auto"/>
    </w:pPr>
    <w:rPr>
      <w:sz w:val="20"/>
      <w:szCs w:val="20"/>
    </w:rPr>
  </w:style>
  <w:style w:type="character" w:customStyle="1" w:styleId="CommentTextChar">
    <w:name w:val="Comment Text Char"/>
    <w:basedOn w:val="DefaultParagraphFont"/>
    <w:link w:val="CommentText"/>
    <w:uiPriority w:val="99"/>
    <w:semiHidden/>
    <w:rsid w:val="00372E2B"/>
    <w:rPr>
      <w:sz w:val="20"/>
      <w:szCs w:val="20"/>
    </w:rPr>
  </w:style>
  <w:style w:type="paragraph" w:styleId="CommentSubject">
    <w:name w:val="annotation subject"/>
    <w:basedOn w:val="CommentText"/>
    <w:next w:val="CommentText"/>
    <w:link w:val="CommentSubjectChar"/>
    <w:uiPriority w:val="99"/>
    <w:semiHidden/>
    <w:unhideWhenUsed/>
    <w:locked/>
    <w:rsid w:val="00372E2B"/>
    <w:rPr>
      <w:b/>
      <w:bCs/>
    </w:rPr>
  </w:style>
  <w:style w:type="character" w:customStyle="1" w:styleId="CommentSubjectChar">
    <w:name w:val="Comment Subject Char"/>
    <w:basedOn w:val="CommentTextChar"/>
    <w:link w:val="CommentSubject"/>
    <w:uiPriority w:val="99"/>
    <w:semiHidden/>
    <w:rsid w:val="00372E2B"/>
    <w:rPr>
      <w:b/>
      <w:bCs/>
      <w:sz w:val="20"/>
      <w:szCs w:val="20"/>
    </w:rPr>
  </w:style>
  <w:style w:type="table" w:styleId="DarkList">
    <w:name w:val="Dark List"/>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E372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37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54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5416" w:themeFill="accent1" w:themeFillShade="BF"/>
      </w:tcPr>
    </w:tblStylePr>
    <w:tblStylePr w:type="band1Vert">
      <w:tblPr/>
      <w:tcPr>
        <w:tcBorders>
          <w:top w:val="nil"/>
          <w:left w:val="nil"/>
          <w:bottom w:val="nil"/>
          <w:right w:val="nil"/>
          <w:insideH w:val="nil"/>
          <w:insideV w:val="nil"/>
        </w:tcBorders>
        <w:shd w:val="clear" w:color="auto" w:fill="AD5416" w:themeFill="accent1" w:themeFillShade="BF"/>
      </w:tcPr>
    </w:tblStylePr>
    <w:tblStylePr w:type="band1Horz">
      <w:tblPr/>
      <w:tcPr>
        <w:tcBorders>
          <w:top w:val="nil"/>
          <w:left w:val="nil"/>
          <w:bottom w:val="nil"/>
          <w:right w:val="nil"/>
          <w:insideH w:val="nil"/>
          <w:insideV w:val="nil"/>
        </w:tcBorders>
        <w:shd w:val="clear" w:color="auto" w:fill="AD5416" w:themeFill="accent1" w:themeFillShade="BF"/>
      </w:tcPr>
    </w:tblStylePr>
  </w:style>
  <w:style w:type="table" w:styleId="DarkList-Accent2">
    <w:name w:val="Dark List Accent 2"/>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1F5D9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E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7457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74576" w:themeFill="accent2" w:themeFillShade="BF"/>
      </w:tcPr>
    </w:tblStylePr>
    <w:tblStylePr w:type="band1Vert">
      <w:tblPr/>
      <w:tcPr>
        <w:tcBorders>
          <w:top w:val="nil"/>
          <w:left w:val="nil"/>
          <w:bottom w:val="nil"/>
          <w:right w:val="nil"/>
          <w:insideH w:val="nil"/>
          <w:insideV w:val="nil"/>
        </w:tcBorders>
        <w:shd w:val="clear" w:color="auto" w:fill="174576" w:themeFill="accent2" w:themeFillShade="BF"/>
      </w:tcPr>
    </w:tblStylePr>
    <w:tblStylePr w:type="band1Horz">
      <w:tblPr/>
      <w:tcPr>
        <w:tcBorders>
          <w:top w:val="nil"/>
          <w:left w:val="nil"/>
          <w:bottom w:val="nil"/>
          <w:right w:val="nil"/>
          <w:insideH w:val="nil"/>
          <w:insideV w:val="nil"/>
        </w:tcBorders>
        <w:shd w:val="clear" w:color="auto" w:fill="174576" w:themeFill="accent2" w:themeFillShade="BF"/>
      </w:tcPr>
    </w:tblStylePr>
  </w:style>
  <w:style w:type="table" w:styleId="DarkList-Accent3">
    <w:name w:val="Dark List Accent 3"/>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7BC7B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06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A99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A998" w:themeFill="accent3" w:themeFillShade="BF"/>
      </w:tcPr>
    </w:tblStylePr>
    <w:tblStylePr w:type="band1Vert">
      <w:tblPr/>
      <w:tcPr>
        <w:tcBorders>
          <w:top w:val="nil"/>
          <w:left w:val="nil"/>
          <w:bottom w:val="nil"/>
          <w:right w:val="nil"/>
          <w:insideH w:val="nil"/>
          <w:insideV w:val="nil"/>
        </w:tcBorders>
        <w:shd w:val="clear" w:color="auto" w:fill="47A998" w:themeFill="accent3" w:themeFillShade="BF"/>
      </w:tcPr>
    </w:tblStylePr>
    <w:tblStylePr w:type="band1Horz">
      <w:tblPr/>
      <w:tcPr>
        <w:tcBorders>
          <w:top w:val="nil"/>
          <w:left w:val="nil"/>
          <w:bottom w:val="nil"/>
          <w:right w:val="nil"/>
          <w:insideH w:val="nil"/>
          <w:insideV w:val="nil"/>
        </w:tcBorders>
        <w:shd w:val="clear" w:color="auto" w:fill="47A998" w:themeFill="accent3" w:themeFillShade="BF"/>
      </w:tcPr>
    </w:tblStylePr>
  </w:style>
  <w:style w:type="table" w:styleId="DarkList-Accent4">
    <w:name w:val="Dark List Accent 4"/>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FFD4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9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9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9E00" w:themeFill="accent4" w:themeFillShade="BF"/>
      </w:tcPr>
    </w:tblStylePr>
    <w:tblStylePr w:type="band1Vert">
      <w:tblPr/>
      <w:tcPr>
        <w:tcBorders>
          <w:top w:val="nil"/>
          <w:left w:val="nil"/>
          <w:bottom w:val="nil"/>
          <w:right w:val="nil"/>
          <w:insideH w:val="nil"/>
          <w:insideV w:val="nil"/>
        </w:tcBorders>
        <w:shd w:val="clear" w:color="auto" w:fill="BF9E00" w:themeFill="accent4" w:themeFillShade="BF"/>
      </w:tcPr>
    </w:tblStylePr>
    <w:tblStylePr w:type="band1Horz">
      <w:tblPr/>
      <w:tcPr>
        <w:tcBorders>
          <w:top w:val="nil"/>
          <w:left w:val="nil"/>
          <w:bottom w:val="nil"/>
          <w:right w:val="nil"/>
          <w:insideH w:val="nil"/>
          <w:insideV w:val="nil"/>
        </w:tcBorders>
        <w:shd w:val="clear" w:color="auto" w:fill="BF9E00" w:themeFill="accent4" w:themeFillShade="BF"/>
      </w:tcPr>
    </w:tblStylePr>
  </w:style>
  <w:style w:type="table" w:styleId="DarkList-Accent5">
    <w:name w:val="Dark List Accent 5"/>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039E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E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2767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27672" w:themeFill="accent5" w:themeFillShade="BF"/>
      </w:tcPr>
    </w:tblStylePr>
    <w:tblStylePr w:type="band1Vert">
      <w:tblPr/>
      <w:tcPr>
        <w:tcBorders>
          <w:top w:val="nil"/>
          <w:left w:val="nil"/>
          <w:bottom w:val="nil"/>
          <w:right w:val="nil"/>
          <w:insideH w:val="nil"/>
          <w:insideV w:val="nil"/>
        </w:tcBorders>
        <w:shd w:val="clear" w:color="auto" w:fill="027672" w:themeFill="accent5" w:themeFillShade="BF"/>
      </w:tcPr>
    </w:tblStylePr>
    <w:tblStylePr w:type="band1Horz">
      <w:tblPr/>
      <w:tcPr>
        <w:tcBorders>
          <w:top w:val="nil"/>
          <w:left w:val="nil"/>
          <w:bottom w:val="nil"/>
          <w:right w:val="nil"/>
          <w:insideH w:val="nil"/>
          <w:insideV w:val="nil"/>
        </w:tcBorders>
        <w:shd w:val="clear" w:color="auto" w:fill="027672" w:themeFill="accent5" w:themeFillShade="BF"/>
      </w:tcPr>
    </w:tblStylePr>
  </w:style>
  <w:style w:type="table" w:styleId="DarkList-Accent6">
    <w:name w:val="Dark List Accent 6"/>
    <w:basedOn w:val="TableNormal"/>
    <w:uiPriority w:val="70"/>
    <w:locked/>
    <w:rsid w:val="00372E2B"/>
    <w:pPr>
      <w:spacing w:before="170" w:after="0" w:line="240" w:lineRule="auto"/>
    </w:pPr>
    <w:rPr>
      <w:color w:val="FFFFFF" w:themeColor="background1"/>
    </w:rPr>
    <w:tblPr>
      <w:tblStyleRowBandSize w:val="1"/>
      <w:tblStyleColBandSize w:val="1"/>
    </w:tblPr>
    <w:tcPr>
      <w:shd w:val="clear" w:color="auto" w:fill="C741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20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430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43016" w:themeFill="accent6" w:themeFillShade="BF"/>
      </w:tcPr>
    </w:tblStylePr>
    <w:tblStylePr w:type="band1Vert">
      <w:tblPr/>
      <w:tcPr>
        <w:tcBorders>
          <w:top w:val="nil"/>
          <w:left w:val="nil"/>
          <w:bottom w:val="nil"/>
          <w:right w:val="nil"/>
          <w:insideH w:val="nil"/>
          <w:insideV w:val="nil"/>
        </w:tcBorders>
        <w:shd w:val="clear" w:color="auto" w:fill="943016" w:themeFill="accent6" w:themeFillShade="BF"/>
      </w:tcPr>
    </w:tblStylePr>
    <w:tblStylePr w:type="band1Horz">
      <w:tblPr/>
      <w:tcPr>
        <w:tcBorders>
          <w:top w:val="nil"/>
          <w:left w:val="nil"/>
          <w:bottom w:val="nil"/>
          <w:right w:val="nil"/>
          <w:insideH w:val="nil"/>
          <w:insideV w:val="nil"/>
        </w:tcBorders>
        <w:shd w:val="clear" w:color="auto" w:fill="943016" w:themeFill="accent6" w:themeFillShade="BF"/>
      </w:tcPr>
    </w:tblStylePr>
  </w:style>
  <w:style w:type="paragraph" w:styleId="Date">
    <w:name w:val="Date"/>
    <w:basedOn w:val="Preparedfor"/>
    <w:next w:val="Author"/>
    <w:link w:val="DateChar"/>
    <w:uiPriority w:val="99"/>
    <w:rsid w:val="00AE00EA"/>
    <w:pPr>
      <w:spacing w:before="1200" w:after="480"/>
    </w:pPr>
  </w:style>
  <w:style w:type="character" w:customStyle="1" w:styleId="DateChar">
    <w:name w:val="Date Char"/>
    <w:basedOn w:val="DefaultParagraphFont"/>
    <w:link w:val="Date"/>
    <w:uiPriority w:val="99"/>
    <w:rsid w:val="00AE00EA"/>
    <w:rPr>
      <w:sz w:val="28"/>
    </w:rPr>
  </w:style>
  <w:style w:type="paragraph" w:styleId="DocumentMap">
    <w:name w:val="Document Map"/>
    <w:basedOn w:val="Normal"/>
    <w:link w:val="DocumentMapChar"/>
    <w:uiPriority w:val="99"/>
    <w:semiHidden/>
    <w:unhideWhenUsed/>
    <w:locked/>
    <w:rsid w:val="00372E2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2E2B"/>
    <w:rPr>
      <w:rFonts w:ascii="Tahoma" w:hAnsi="Tahoma" w:cs="Tahoma"/>
      <w:sz w:val="16"/>
      <w:szCs w:val="16"/>
    </w:rPr>
  </w:style>
  <w:style w:type="paragraph" w:styleId="EmailSignature">
    <w:name w:val="E-mail Signature"/>
    <w:basedOn w:val="Normal"/>
    <w:link w:val="EmailSignatureChar"/>
    <w:uiPriority w:val="99"/>
    <w:semiHidden/>
    <w:unhideWhenUsed/>
    <w:locked/>
    <w:rsid w:val="00372E2B"/>
    <w:pPr>
      <w:spacing w:line="240" w:lineRule="auto"/>
    </w:pPr>
  </w:style>
  <w:style w:type="character" w:customStyle="1" w:styleId="EmailSignatureChar">
    <w:name w:val="Email Signature Char"/>
    <w:basedOn w:val="DefaultParagraphFont"/>
    <w:link w:val="EmailSignature"/>
    <w:uiPriority w:val="99"/>
    <w:semiHidden/>
    <w:rsid w:val="00372E2B"/>
    <w:rPr>
      <w:sz w:val="22"/>
      <w:szCs w:val="22"/>
    </w:rPr>
  </w:style>
  <w:style w:type="character" w:styleId="Emphasis">
    <w:name w:val="Emphasis"/>
    <w:basedOn w:val="DefaultParagraphFont"/>
    <w:uiPriority w:val="20"/>
    <w:semiHidden/>
    <w:locked/>
    <w:rsid w:val="00F44A29"/>
    <w:rPr>
      <w:i/>
      <w:iCs/>
    </w:rPr>
  </w:style>
  <w:style w:type="character" w:styleId="EndnoteReference">
    <w:name w:val="endnote reference"/>
    <w:basedOn w:val="DefaultParagraphFont"/>
    <w:uiPriority w:val="99"/>
    <w:rsid w:val="00372E2B"/>
    <w:rPr>
      <w:noProof w:val="0"/>
      <w:vertAlign w:val="superscript"/>
      <w:lang w:val="en-AU"/>
    </w:rPr>
  </w:style>
  <w:style w:type="paragraph" w:styleId="EndnoteText">
    <w:name w:val="endnote text"/>
    <w:basedOn w:val="Normal"/>
    <w:link w:val="EndnoteTextChar"/>
    <w:uiPriority w:val="99"/>
    <w:rsid w:val="00372E2B"/>
    <w:pPr>
      <w:spacing w:line="240" w:lineRule="auto"/>
    </w:pPr>
    <w:rPr>
      <w:sz w:val="20"/>
      <w:szCs w:val="20"/>
    </w:rPr>
  </w:style>
  <w:style w:type="character" w:customStyle="1" w:styleId="EndnoteTextChar">
    <w:name w:val="Endnote Text Char"/>
    <w:basedOn w:val="DefaultParagraphFont"/>
    <w:link w:val="EndnoteText"/>
    <w:uiPriority w:val="99"/>
    <w:rsid w:val="00445793"/>
    <w:rPr>
      <w:sz w:val="20"/>
      <w:szCs w:val="20"/>
    </w:rPr>
  </w:style>
  <w:style w:type="paragraph" w:styleId="EnvelopeAddress">
    <w:name w:val="envelope address"/>
    <w:basedOn w:val="Normal"/>
    <w:uiPriority w:val="99"/>
    <w:semiHidden/>
    <w:unhideWhenUsed/>
    <w:locked/>
    <w:rsid w:val="00372E2B"/>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372E2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rsid w:val="009906D1"/>
    <w:rPr>
      <w:noProof w:val="0"/>
      <w:color w:val="1F5D9E" w:themeColor="accent2"/>
      <w:u w:val="single"/>
      <w:lang w:val="en-AU"/>
    </w:rPr>
  </w:style>
  <w:style w:type="character" w:styleId="FootnoteReference">
    <w:name w:val="footnote reference"/>
    <w:basedOn w:val="DefaultParagraphFont"/>
    <w:uiPriority w:val="99"/>
    <w:rsid w:val="00D41C19"/>
    <w:rPr>
      <w:rFonts w:ascii="Arial" w:hAnsi="Arial"/>
      <w:noProof w:val="0"/>
      <w:sz w:val="18"/>
      <w:vertAlign w:val="superscript"/>
      <w:lang w:val="en-AU"/>
    </w:rPr>
  </w:style>
  <w:style w:type="paragraph" w:styleId="FootnoteText">
    <w:name w:val="footnote text"/>
    <w:basedOn w:val="Normal"/>
    <w:link w:val="FootnoteTextChar"/>
    <w:uiPriority w:val="99"/>
    <w:rsid w:val="00424E0D"/>
    <w:pPr>
      <w:spacing w:line="240" w:lineRule="auto"/>
      <w:ind w:left="142" w:hanging="142"/>
    </w:pPr>
    <w:rPr>
      <w:sz w:val="18"/>
      <w:szCs w:val="20"/>
    </w:rPr>
  </w:style>
  <w:style w:type="character" w:customStyle="1" w:styleId="FootnoteTextChar">
    <w:name w:val="Footnote Text Char"/>
    <w:basedOn w:val="DefaultParagraphFont"/>
    <w:link w:val="FootnoteText"/>
    <w:uiPriority w:val="99"/>
    <w:rsid w:val="00424E0D"/>
    <w:rPr>
      <w:sz w:val="18"/>
      <w:szCs w:val="20"/>
    </w:rPr>
  </w:style>
  <w:style w:type="character" w:customStyle="1" w:styleId="Heading5Char">
    <w:name w:val="Heading 5 Char"/>
    <w:basedOn w:val="DefaultParagraphFont"/>
    <w:link w:val="Heading5"/>
    <w:uiPriority w:val="9"/>
    <w:semiHidden/>
    <w:rsid w:val="00372E2B"/>
    <w:rPr>
      <w:rFonts w:asciiTheme="majorHAnsi" w:eastAsiaTheme="majorEastAsia" w:hAnsiTheme="majorHAnsi" w:cstheme="majorBidi"/>
      <w:color w:val="73370E" w:themeColor="accent1" w:themeShade="7F"/>
      <w:sz w:val="22"/>
      <w:szCs w:val="22"/>
    </w:rPr>
  </w:style>
  <w:style w:type="character" w:customStyle="1" w:styleId="Heading6Char">
    <w:name w:val="Heading 6 Char"/>
    <w:aliases w:val="Appendix Heading Char"/>
    <w:basedOn w:val="DefaultParagraphFont"/>
    <w:link w:val="Heading6"/>
    <w:uiPriority w:val="12"/>
    <w:rsid w:val="002A41AC"/>
    <w:rPr>
      <w:rFonts w:asciiTheme="majorHAnsi" w:eastAsiaTheme="majorEastAsia" w:hAnsiTheme="majorHAnsi" w:cstheme="majorBidi"/>
      <w:b/>
      <w:iCs/>
      <w:color w:val="E37222" w:themeColor="accent1"/>
      <w:sz w:val="40"/>
    </w:rPr>
  </w:style>
  <w:style w:type="character" w:customStyle="1" w:styleId="Heading7Char">
    <w:name w:val="Heading 7 Char"/>
    <w:basedOn w:val="DefaultParagraphFont"/>
    <w:link w:val="Heading7"/>
    <w:uiPriority w:val="9"/>
    <w:semiHidden/>
    <w:rsid w:val="00F44A29"/>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44A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4A29"/>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locked/>
    <w:rsid w:val="00372E2B"/>
    <w:rPr>
      <w:noProof w:val="0"/>
      <w:lang w:val="en-AU"/>
    </w:rPr>
  </w:style>
  <w:style w:type="paragraph" w:styleId="HTMLAddress">
    <w:name w:val="HTML Address"/>
    <w:basedOn w:val="Normal"/>
    <w:link w:val="HTMLAddressChar"/>
    <w:uiPriority w:val="99"/>
    <w:semiHidden/>
    <w:unhideWhenUsed/>
    <w:locked/>
    <w:rsid w:val="00372E2B"/>
    <w:pPr>
      <w:spacing w:line="240" w:lineRule="auto"/>
    </w:pPr>
    <w:rPr>
      <w:i/>
      <w:iCs/>
    </w:rPr>
  </w:style>
  <w:style w:type="character" w:customStyle="1" w:styleId="HTMLAddressChar">
    <w:name w:val="HTML Address Char"/>
    <w:basedOn w:val="DefaultParagraphFont"/>
    <w:link w:val="HTMLAddress"/>
    <w:uiPriority w:val="99"/>
    <w:semiHidden/>
    <w:rsid w:val="00372E2B"/>
    <w:rPr>
      <w:i/>
      <w:iCs/>
      <w:sz w:val="22"/>
      <w:szCs w:val="22"/>
    </w:rPr>
  </w:style>
  <w:style w:type="character" w:styleId="HTMLCite">
    <w:name w:val="HTML Cite"/>
    <w:basedOn w:val="DefaultParagraphFont"/>
    <w:uiPriority w:val="99"/>
    <w:semiHidden/>
    <w:unhideWhenUsed/>
    <w:locked/>
    <w:rsid w:val="00372E2B"/>
    <w:rPr>
      <w:i/>
      <w:iCs/>
      <w:noProof w:val="0"/>
      <w:lang w:val="en-AU"/>
    </w:rPr>
  </w:style>
  <w:style w:type="character" w:styleId="HTMLCode">
    <w:name w:val="HTML Code"/>
    <w:basedOn w:val="DefaultParagraphFont"/>
    <w:uiPriority w:val="99"/>
    <w:semiHidden/>
    <w:unhideWhenUsed/>
    <w:locked/>
    <w:rsid w:val="00372E2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372E2B"/>
    <w:rPr>
      <w:i/>
      <w:iCs/>
      <w:noProof w:val="0"/>
      <w:lang w:val="en-AU"/>
    </w:rPr>
  </w:style>
  <w:style w:type="character" w:styleId="HTMLKeyboard">
    <w:name w:val="HTML Keyboard"/>
    <w:basedOn w:val="DefaultParagraphFont"/>
    <w:uiPriority w:val="99"/>
    <w:semiHidden/>
    <w:unhideWhenUsed/>
    <w:locked/>
    <w:rsid w:val="00372E2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372E2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72E2B"/>
    <w:rPr>
      <w:rFonts w:ascii="Consolas" w:hAnsi="Consolas"/>
      <w:sz w:val="20"/>
      <w:szCs w:val="20"/>
    </w:rPr>
  </w:style>
  <w:style w:type="character" w:styleId="HTMLSample">
    <w:name w:val="HTML Sample"/>
    <w:basedOn w:val="DefaultParagraphFont"/>
    <w:uiPriority w:val="99"/>
    <w:semiHidden/>
    <w:unhideWhenUsed/>
    <w:locked/>
    <w:rsid w:val="00372E2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372E2B"/>
    <w:rPr>
      <w:rFonts w:ascii="Consolas" w:hAnsi="Consolas"/>
      <w:noProof w:val="0"/>
      <w:sz w:val="20"/>
      <w:szCs w:val="20"/>
      <w:lang w:val="en-AU"/>
    </w:rPr>
  </w:style>
  <w:style w:type="character" w:styleId="HTMLVariable">
    <w:name w:val="HTML Variable"/>
    <w:basedOn w:val="DefaultParagraphFont"/>
    <w:uiPriority w:val="99"/>
    <w:semiHidden/>
    <w:unhideWhenUsed/>
    <w:locked/>
    <w:rsid w:val="00372E2B"/>
    <w:rPr>
      <w:i/>
      <w:iCs/>
      <w:noProof w:val="0"/>
      <w:lang w:val="en-AU"/>
    </w:rPr>
  </w:style>
  <w:style w:type="paragraph" w:styleId="Index1">
    <w:name w:val="index 1"/>
    <w:basedOn w:val="Normal"/>
    <w:next w:val="Normal"/>
    <w:autoRedefine/>
    <w:uiPriority w:val="99"/>
    <w:semiHidden/>
    <w:unhideWhenUsed/>
    <w:locked/>
    <w:rsid w:val="00372E2B"/>
    <w:pPr>
      <w:spacing w:line="240" w:lineRule="auto"/>
      <w:ind w:left="190" w:hanging="190"/>
    </w:pPr>
  </w:style>
  <w:style w:type="paragraph" w:styleId="Index2">
    <w:name w:val="index 2"/>
    <w:basedOn w:val="Normal"/>
    <w:next w:val="Normal"/>
    <w:autoRedefine/>
    <w:uiPriority w:val="99"/>
    <w:semiHidden/>
    <w:unhideWhenUsed/>
    <w:locked/>
    <w:rsid w:val="00372E2B"/>
    <w:pPr>
      <w:spacing w:line="240" w:lineRule="auto"/>
      <w:ind w:left="380" w:hanging="190"/>
    </w:pPr>
  </w:style>
  <w:style w:type="paragraph" w:styleId="Index3">
    <w:name w:val="index 3"/>
    <w:basedOn w:val="Normal"/>
    <w:next w:val="Normal"/>
    <w:autoRedefine/>
    <w:uiPriority w:val="99"/>
    <w:semiHidden/>
    <w:unhideWhenUsed/>
    <w:locked/>
    <w:rsid w:val="00372E2B"/>
    <w:pPr>
      <w:spacing w:line="240" w:lineRule="auto"/>
      <w:ind w:left="570" w:hanging="190"/>
    </w:pPr>
  </w:style>
  <w:style w:type="paragraph" w:styleId="Index4">
    <w:name w:val="index 4"/>
    <w:basedOn w:val="Normal"/>
    <w:next w:val="Normal"/>
    <w:autoRedefine/>
    <w:uiPriority w:val="99"/>
    <w:semiHidden/>
    <w:unhideWhenUsed/>
    <w:locked/>
    <w:rsid w:val="00372E2B"/>
    <w:pPr>
      <w:spacing w:line="240" w:lineRule="auto"/>
      <w:ind w:left="760" w:hanging="190"/>
    </w:pPr>
  </w:style>
  <w:style w:type="paragraph" w:styleId="Index5">
    <w:name w:val="index 5"/>
    <w:basedOn w:val="Normal"/>
    <w:next w:val="Normal"/>
    <w:autoRedefine/>
    <w:uiPriority w:val="99"/>
    <w:semiHidden/>
    <w:unhideWhenUsed/>
    <w:locked/>
    <w:rsid w:val="00372E2B"/>
    <w:pPr>
      <w:spacing w:line="240" w:lineRule="auto"/>
      <w:ind w:left="950" w:hanging="190"/>
    </w:pPr>
  </w:style>
  <w:style w:type="paragraph" w:styleId="Index6">
    <w:name w:val="index 6"/>
    <w:basedOn w:val="Normal"/>
    <w:next w:val="Normal"/>
    <w:autoRedefine/>
    <w:uiPriority w:val="99"/>
    <w:semiHidden/>
    <w:unhideWhenUsed/>
    <w:locked/>
    <w:rsid w:val="00372E2B"/>
    <w:pPr>
      <w:spacing w:line="240" w:lineRule="auto"/>
      <w:ind w:left="1140" w:hanging="190"/>
    </w:pPr>
  </w:style>
  <w:style w:type="paragraph" w:styleId="Index7">
    <w:name w:val="index 7"/>
    <w:basedOn w:val="Normal"/>
    <w:next w:val="Normal"/>
    <w:autoRedefine/>
    <w:uiPriority w:val="99"/>
    <w:semiHidden/>
    <w:unhideWhenUsed/>
    <w:locked/>
    <w:rsid w:val="00372E2B"/>
    <w:pPr>
      <w:spacing w:line="240" w:lineRule="auto"/>
      <w:ind w:left="1330" w:hanging="190"/>
    </w:pPr>
  </w:style>
  <w:style w:type="paragraph" w:styleId="Index8">
    <w:name w:val="index 8"/>
    <w:basedOn w:val="Normal"/>
    <w:next w:val="Normal"/>
    <w:autoRedefine/>
    <w:uiPriority w:val="99"/>
    <w:semiHidden/>
    <w:unhideWhenUsed/>
    <w:locked/>
    <w:rsid w:val="00372E2B"/>
    <w:pPr>
      <w:spacing w:line="240" w:lineRule="auto"/>
      <w:ind w:left="1520" w:hanging="190"/>
    </w:pPr>
  </w:style>
  <w:style w:type="paragraph" w:styleId="Index9">
    <w:name w:val="index 9"/>
    <w:basedOn w:val="Normal"/>
    <w:next w:val="Normal"/>
    <w:autoRedefine/>
    <w:uiPriority w:val="99"/>
    <w:semiHidden/>
    <w:unhideWhenUsed/>
    <w:locked/>
    <w:rsid w:val="00372E2B"/>
    <w:pPr>
      <w:spacing w:line="240" w:lineRule="auto"/>
      <w:ind w:left="1710" w:hanging="190"/>
    </w:pPr>
  </w:style>
  <w:style w:type="paragraph" w:styleId="IndexHeading">
    <w:name w:val="index heading"/>
    <w:basedOn w:val="Normal"/>
    <w:next w:val="Index1"/>
    <w:uiPriority w:val="99"/>
    <w:semiHidden/>
    <w:unhideWhenUsed/>
    <w:locked/>
    <w:rsid w:val="00372E2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372E2B"/>
    <w:rPr>
      <w:b/>
      <w:bCs/>
      <w:i/>
      <w:iCs/>
      <w:noProof w:val="0"/>
      <w:color w:val="E37222" w:themeColor="accent1"/>
      <w:lang w:val="en-AU"/>
    </w:rPr>
  </w:style>
  <w:style w:type="paragraph" w:styleId="IntenseQuote">
    <w:name w:val="Intense Quote"/>
    <w:basedOn w:val="Normal"/>
    <w:next w:val="Normal"/>
    <w:link w:val="IntenseQuoteChar"/>
    <w:uiPriority w:val="30"/>
    <w:semiHidden/>
    <w:qFormat/>
    <w:locked/>
    <w:rsid w:val="00372E2B"/>
    <w:pPr>
      <w:pBdr>
        <w:bottom w:val="single" w:sz="4" w:space="4" w:color="E37222" w:themeColor="accent1"/>
      </w:pBdr>
      <w:spacing w:before="200" w:after="280"/>
      <w:ind w:left="936" w:right="936"/>
    </w:pPr>
    <w:rPr>
      <w:b/>
      <w:bCs/>
      <w:i/>
      <w:iCs/>
      <w:color w:val="E37222" w:themeColor="accent1"/>
    </w:rPr>
  </w:style>
  <w:style w:type="character" w:customStyle="1" w:styleId="IntenseQuoteChar">
    <w:name w:val="Intense Quote Char"/>
    <w:basedOn w:val="DefaultParagraphFont"/>
    <w:link w:val="IntenseQuote"/>
    <w:uiPriority w:val="30"/>
    <w:semiHidden/>
    <w:rsid w:val="00372E2B"/>
    <w:rPr>
      <w:b/>
      <w:bCs/>
      <w:i/>
      <w:iCs/>
      <w:color w:val="E37222" w:themeColor="accent1"/>
      <w:sz w:val="22"/>
      <w:szCs w:val="22"/>
    </w:rPr>
  </w:style>
  <w:style w:type="character" w:styleId="IntenseReference">
    <w:name w:val="Intense Reference"/>
    <w:basedOn w:val="DefaultParagraphFont"/>
    <w:uiPriority w:val="32"/>
    <w:semiHidden/>
    <w:qFormat/>
    <w:locked/>
    <w:rsid w:val="00372E2B"/>
    <w:rPr>
      <w:b/>
      <w:bCs/>
      <w:smallCaps/>
      <w:noProof w:val="0"/>
      <w:color w:val="1F5D9E" w:themeColor="accent2"/>
      <w:spacing w:val="5"/>
      <w:u w:val="single"/>
      <w:lang w:val="en-AU"/>
    </w:rPr>
  </w:style>
  <w:style w:type="table" w:styleId="LightGrid">
    <w:name w:val="Light Grid"/>
    <w:basedOn w:val="TableNormal"/>
    <w:uiPriority w:val="62"/>
    <w:locked/>
    <w:rsid w:val="00372E2B"/>
    <w:pPr>
      <w:spacing w:before="17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372E2B"/>
    <w:pPr>
      <w:spacing w:before="170" w:after="0" w:line="240" w:lineRule="auto"/>
    </w:pPr>
    <w:tblPr>
      <w:tblStyleRowBandSize w:val="1"/>
      <w:tblStyleColBandSize w:val="1"/>
      <w:tblBorders>
        <w:top w:val="single" w:sz="8" w:space="0" w:color="E37222" w:themeColor="accent1"/>
        <w:left w:val="single" w:sz="8" w:space="0" w:color="E37222" w:themeColor="accent1"/>
        <w:bottom w:val="single" w:sz="8" w:space="0" w:color="E37222" w:themeColor="accent1"/>
        <w:right w:val="single" w:sz="8" w:space="0" w:color="E37222" w:themeColor="accent1"/>
        <w:insideH w:val="single" w:sz="8" w:space="0" w:color="E37222" w:themeColor="accent1"/>
        <w:insideV w:val="single" w:sz="8" w:space="0" w:color="E372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7222" w:themeColor="accent1"/>
          <w:left w:val="single" w:sz="8" w:space="0" w:color="E37222" w:themeColor="accent1"/>
          <w:bottom w:val="single" w:sz="18" w:space="0" w:color="E37222" w:themeColor="accent1"/>
          <w:right w:val="single" w:sz="8" w:space="0" w:color="E37222" w:themeColor="accent1"/>
          <w:insideH w:val="nil"/>
          <w:insideV w:val="single" w:sz="8" w:space="0" w:color="E372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7222" w:themeColor="accent1"/>
          <w:left w:val="single" w:sz="8" w:space="0" w:color="E37222" w:themeColor="accent1"/>
          <w:bottom w:val="single" w:sz="8" w:space="0" w:color="E37222" w:themeColor="accent1"/>
          <w:right w:val="single" w:sz="8" w:space="0" w:color="E37222" w:themeColor="accent1"/>
          <w:insideH w:val="nil"/>
          <w:insideV w:val="single" w:sz="8" w:space="0" w:color="E372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7222" w:themeColor="accent1"/>
          <w:left w:val="single" w:sz="8" w:space="0" w:color="E37222" w:themeColor="accent1"/>
          <w:bottom w:val="single" w:sz="8" w:space="0" w:color="E37222" w:themeColor="accent1"/>
          <w:right w:val="single" w:sz="8" w:space="0" w:color="E37222" w:themeColor="accent1"/>
        </w:tcBorders>
      </w:tcPr>
    </w:tblStylePr>
    <w:tblStylePr w:type="band1Vert">
      <w:tblPr/>
      <w:tcPr>
        <w:tcBorders>
          <w:top w:val="single" w:sz="8" w:space="0" w:color="E37222" w:themeColor="accent1"/>
          <w:left w:val="single" w:sz="8" w:space="0" w:color="E37222" w:themeColor="accent1"/>
          <w:bottom w:val="single" w:sz="8" w:space="0" w:color="E37222" w:themeColor="accent1"/>
          <w:right w:val="single" w:sz="8" w:space="0" w:color="E37222" w:themeColor="accent1"/>
        </w:tcBorders>
        <w:shd w:val="clear" w:color="auto" w:fill="F8DBC8" w:themeFill="accent1" w:themeFillTint="3F"/>
      </w:tcPr>
    </w:tblStylePr>
    <w:tblStylePr w:type="band1Horz">
      <w:tblPr/>
      <w:tcPr>
        <w:tcBorders>
          <w:top w:val="single" w:sz="8" w:space="0" w:color="E37222" w:themeColor="accent1"/>
          <w:left w:val="single" w:sz="8" w:space="0" w:color="E37222" w:themeColor="accent1"/>
          <w:bottom w:val="single" w:sz="8" w:space="0" w:color="E37222" w:themeColor="accent1"/>
          <w:right w:val="single" w:sz="8" w:space="0" w:color="E37222" w:themeColor="accent1"/>
          <w:insideV w:val="single" w:sz="8" w:space="0" w:color="E37222" w:themeColor="accent1"/>
        </w:tcBorders>
        <w:shd w:val="clear" w:color="auto" w:fill="F8DBC8" w:themeFill="accent1" w:themeFillTint="3F"/>
      </w:tcPr>
    </w:tblStylePr>
    <w:tblStylePr w:type="band2Horz">
      <w:tblPr/>
      <w:tcPr>
        <w:tcBorders>
          <w:top w:val="single" w:sz="8" w:space="0" w:color="E37222" w:themeColor="accent1"/>
          <w:left w:val="single" w:sz="8" w:space="0" w:color="E37222" w:themeColor="accent1"/>
          <w:bottom w:val="single" w:sz="8" w:space="0" w:color="E37222" w:themeColor="accent1"/>
          <w:right w:val="single" w:sz="8" w:space="0" w:color="E37222" w:themeColor="accent1"/>
          <w:insideV w:val="single" w:sz="8" w:space="0" w:color="E37222" w:themeColor="accent1"/>
        </w:tcBorders>
      </w:tcPr>
    </w:tblStylePr>
  </w:style>
  <w:style w:type="table" w:styleId="LightGrid-Accent2">
    <w:name w:val="Light Grid Accent 2"/>
    <w:basedOn w:val="TableNormal"/>
    <w:uiPriority w:val="62"/>
    <w:locked/>
    <w:rsid w:val="00372E2B"/>
    <w:pPr>
      <w:spacing w:before="170" w:after="0" w:line="240" w:lineRule="auto"/>
    </w:pPr>
    <w:tblPr>
      <w:tblStyleRowBandSize w:val="1"/>
      <w:tblStyleColBandSize w:val="1"/>
      <w:tblBorders>
        <w:top w:val="single" w:sz="8" w:space="0" w:color="1F5D9E" w:themeColor="accent2"/>
        <w:left w:val="single" w:sz="8" w:space="0" w:color="1F5D9E" w:themeColor="accent2"/>
        <w:bottom w:val="single" w:sz="8" w:space="0" w:color="1F5D9E" w:themeColor="accent2"/>
        <w:right w:val="single" w:sz="8" w:space="0" w:color="1F5D9E" w:themeColor="accent2"/>
        <w:insideH w:val="single" w:sz="8" w:space="0" w:color="1F5D9E" w:themeColor="accent2"/>
        <w:insideV w:val="single" w:sz="8" w:space="0" w:color="1F5D9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5D9E" w:themeColor="accent2"/>
          <w:left w:val="single" w:sz="8" w:space="0" w:color="1F5D9E" w:themeColor="accent2"/>
          <w:bottom w:val="single" w:sz="18" w:space="0" w:color="1F5D9E" w:themeColor="accent2"/>
          <w:right w:val="single" w:sz="8" w:space="0" w:color="1F5D9E" w:themeColor="accent2"/>
          <w:insideH w:val="nil"/>
          <w:insideV w:val="single" w:sz="8" w:space="0" w:color="1F5D9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5D9E" w:themeColor="accent2"/>
          <w:left w:val="single" w:sz="8" w:space="0" w:color="1F5D9E" w:themeColor="accent2"/>
          <w:bottom w:val="single" w:sz="8" w:space="0" w:color="1F5D9E" w:themeColor="accent2"/>
          <w:right w:val="single" w:sz="8" w:space="0" w:color="1F5D9E" w:themeColor="accent2"/>
          <w:insideH w:val="nil"/>
          <w:insideV w:val="single" w:sz="8" w:space="0" w:color="1F5D9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5D9E" w:themeColor="accent2"/>
          <w:left w:val="single" w:sz="8" w:space="0" w:color="1F5D9E" w:themeColor="accent2"/>
          <w:bottom w:val="single" w:sz="8" w:space="0" w:color="1F5D9E" w:themeColor="accent2"/>
          <w:right w:val="single" w:sz="8" w:space="0" w:color="1F5D9E" w:themeColor="accent2"/>
        </w:tcBorders>
      </w:tcPr>
    </w:tblStylePr>
    <w:tblStylePr w:type="band1Vert">
      <w:tblPr/>
      <w:tcPr>
        <w:tcBorders>
          <w:top w:val="single" w:sz="8" w:space="0" w:color="1F5D9E" w:themeColor="accent2"/>
          <w:left w:val="single" w:sz="8" w:space="0" w:color="1F5D9E" w:themeColor="accent2"/>
          <w:bottom w:val="single" w:sz="8" w:space="0" w:color="1F5D9E" w:themeColor="accent2"/>
          <w:right w:val="single" w:sz="8" w:space="0" w:color="1F5D9E" w:themeColor="accent2"/>
        </w:tcBorders>
        <w:shd w:val="clear" w:color="auto" w:fill="BCD6F2" w:themeFill="accent2" w:themeFillTint="3F"/>
      </w:tcPr>
    </w:tblStylePr>
    <w:tblStylePr w:type="band1Horz">
      <w:tblPr/>
      <w:tcPr>
        <w:tcBorders>
          <w:top w:val="single" w:sz="8" w:space="0" w:color="1F5D9E" w:themeColor="accent2"/>
          <w:left w:val="single" w:sz="8" w:space="0" w:color="1F5D9E" w:themeColor="accent2"/>
          <w:bottom w:val="single" w:sz="8" w:space="0" w:color="1F5D9E" w:themeColor="accent2"/>
          <w:right w:val="single" w:sz="8" w:space="0" w:color="1F5D9E" w:themeColor="accent2"/>
          <w:insideV w:val="single" w:sz="8" w:space="0" w:color="1F5D9E" w:themeColor="accent2"/>
        </w:tcBorders>
        <w:shd w:val="clear" w:color="auto" w:fill="BCD6F2" w:themeFill="accent2" w:themeFillTint="3F"/>
      </w:tcPr>
    </w:tblStylePr>
    <w:tblStylePr w:type="band2Horz">
      <w:tblPr/>
      <w:tcPr>
        <w:tcBorders>
          <w:top w:val="single" w:sz="8" w:space="0" w:color="1F5D9E" w:themeColor="accent2"/>
          <w:left w:val="single" w:sz="8" w:space="0" w:color="1F5D9E" w:themeColor="accent2"/>
          <w:bottom w:val="single" w:sz="8" w:space="0" w:color="1F5D9E" w:themeColor="accent2"/>
          <w:right w:val="single" w:sz="8" w:space="0" w:color="1F5D9E" w:themeColor="accent2"/>
          <w:insideV w:val="single" w:sz="8" w:space="0" w:color="1F5D9E" w:themeColor="accent2"/>
        </w:tcBorders>
      </w:tcPr>
    </w:tblStylePr>
  </w:style>
  <w:style w:type="table" w:styleId="LightGrid-Accent3">
    <w:name w:val="Light Grid Accent 3"/>
    <w:basedOn w:val="TableNormal"/>
    <w:uiPriority w:val="62"/>
    <w:locked/>
    <w:rsid w:val="00372E2B"/>
    <w:pPr>
      <w:spacing w:before="170" w:after="0" w:line="240" w:lineRule="auto"/>
    </w:pPr>
    <w:tblPr>
      <w:tblStyleRowBandSize w:val="1"/>
      <w:tblStyleColBandSize w:val="1"/>
      <w:tblBorders>
        <w:top w:val="single" w:sz="8" w:space="0" w:color="7BC7BA" w:themeColor="accent3"/>
        <w:left w:val="single" w:sz="8" w:space="0" w:color="7BC7BA" w:themeColor="accent3"/>
        <w:bottom w:val="single" w:sz="8" w:space="0" w:color="7BC7BA" w:themeColor="accent3"/>
        <w:right w:val="single" w:sz="8" w:space="0" w:color="7BC7BA" w:themeColor="accent3"/>
        <w:insideH w:val="single" w:sz="8" w:space="0" w:color="7BC7BA" w:themeColor="accent3"/>
        <w:insideV w:val="single" w:sz="8" w:space="0" w:color="7BC7B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7BA" w:themeColor="accent3"/>
          <w:left w:val="single" w:sz="8" w:space="0" w:color="7BC7BA" w:themeColor="accent3"/>
          <w:bottom w:val="single" w:sz="18" w:space="0" w:color="7BC7BA" w:themeColor="accent3"/>
          <w:right w:val="single" w:sz="8" w:space="0" w:color="7BC7BA" w:themeColor="accent3"/>
          <w:insideH w:val="nil"/>
          <w:insideV w:val="single" w:sz="8" w:space="0" w:color="7BC7B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7BA" w:themeColor="accent3"/>
          <w:left w:val="single" w:sz="8" w:space="0" w:color="7BC7BA" w:themeColor="accent3"/>
          <w:bottom w:val="single" w:sz="8" w:space="0" w:color="7BC7BA" w:themeColor="accent3"/>
          <w:right w:val="single" w:sz="8" w:space="0" w:color="7BC7BA" w:themeColor="accent3"/>
          <w:insideH w:val="nil"/>
          <w:insideV w:val="single" w:sz="8" w:space="0" w:color="7BC7B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7BA" w:themeColor="accent3"/>
          <w:left w:val="single" w:sz="8" w:space="0" w:color="7BC7BA" w:themeColor="accent3"/>
          <w:bottom w:val="single" w:sz="8" w:space="0" w:color="7BC7BA" w:themeColor="accent3"/>
          <w:right w:val="single" w:sz="8" w:space="0" w:color="7BC7BA" w:themeColor="accent3"/>
        </w:tcBorders>
      </w:tcPr>
    </w:tblStylePr>
    <w:tblStylePr w:type="band1Vert">
      <w:tblPr/>
      <w:tcPr>
        <w:tcBorders>
          <w:top w:val="single" w:sz="8" w:space="0" w:color="7BC7BA" w:themeColor="accent3"/>
          <w:left w:val="single" w:sz="8" w:space="0" w:color="7BC7BA" w:themeColor="accent3"/>
          <w:bottom w:val="single" w:sz="8" w:space="0" w:color="7BC7BA" w:themeColor="accent3"/>
          <w:right w:val="single" w:sz="8" w:space="0" w:color="7BC7BA" w:themeColor="accent3"/>
        </w:tcBorders>
        <w:shd w:val="clear" w:color="auto" w:fill="DEF1ED" w:themeFill="accent3" w:themeFillTint="3F"/>
      </w:tcPr>
    </w:tblStylePr>
    <w:tblStylePr w:type="band1Horz">
      <w:tblPr/>
      <w:tcPr>
        <w:tcBorders>
          <w:top w:val="single" w:sz="8" w:space="0" w:color="7BC7BA" w:themeColor="accent3"/>
          <w:left w:val="single" w:sz="8" w:space="0" w:color="7BC7BA" w:themeColor="accent3"/>
          <w:bottom w:val="single" w:sz="8" w:space="0" w:color="7BC7BA" w:themeColor="accent3"/>
          <w:right w:val="single" w:sz="8" w:space="0" w:color="7BC7BA" w:themeColor="accent3"/>
          <w:insideV w:val="single" w:sz="8" w:space="0" w:color="7BC7BA" w:themeColor="accent3"/>
        </w:tcBorders>
        <w:shd w:val="clear" w:color="auto" w:fill="DEF1ED" w:themeFill="accent3" w:themeFillTint="3F"/>
      </w:tcPr>
    </w:tblStylePr>
    <w:tblStylePr w:type="band2Horz">
      <w:tblPr/>
      <w:tcPr>
        <w:tcBorders>
          <w:top w:val="single" w:sz="8" w:space="0" w:color="7BC7BA" w:themeColor="accent3"/>
          <w:left w:val="single" w:sz="8" w:space="0" w:color="7BC7BA" w:themeColor="accent3"/>
          <w:bottom w:val="single" w:sz="8" w:space="0" w:color="7BC7BA" w:themeColor="accent3"/>
          <w:right w:val="single" w:sz="8" w:space="0" w:color="7BC7BA" w:themeColor="accent3"/>
          <w:insideV w:val="single" w:sz="8" w:space="0" w:color="7BC7BA" w:themeColor="accent3"/>
        </w:tcBorders>
      </w:tcPr>
    </w:tblStylePr>
  </w:style>
  <w:style w:type="table" w:styleId="LightGrid-Accent4">
    <w:name w:val="Light Grid Accent 4"/>
    <w:basedOn w:val="TableNormal"/>
    <w:uiPriority w:val="62"/>
    <w:locked/>
    <w:rsid w:val="00372E2B"/>
    <w:pPr>
      <w:spacing w:before="170" w:after="0" w:line="240" w:lineRule="auto"/>
    </w:pPr>
    <w:tblPr>
      <w:tblStyleRowBandSize w:val="1"/>
      <w:tblStyleColBandSize w:val="1"/>
      <w:tblBorders>
        <w:top w:val="single" w:sz="8" w:space="0" w:color="FFD401" w:themeColor="accent4"/>
        <w:left w:val="single" w:sz="8" w:space="0" w:color="FFD401" w:themeColor="accent4"/>
        <w:bottom w:val="single" w:sz="8" w:space="0" w:color="FFD401" w:themeColor="accent4"/>
        <w:right w:val="single" w:sz="8" w:space="0" w:color="FFD401" w:themeColor="accent4"/>
        <w:insideH w:val="single" w:sz="8" w:space="0" w:color="FFD401" w:themeColor="accent4"/>
        <w:insideV w:val="single" w:sz="8" w:space="0" w:color="FFD4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01" w:themeColor="accent4"/>
          <w:left w:val="single" w:sz="8" w:space="0" w:color="FFD401" w:themeColor="accent4"/>
          <w:bottom w:val="single" w:sz="18" w:space="0" w:color="FFD401" w:themeColor="accent4"/>
          <w:right w:val="single" w:sz="8" w:space="0" w:color="FFD401" w:themeColor="accent4"/>
          <w:insideH w:val="nil"/>
          <w:insideV w:val="single" w:sz="8" w:space="0" w:color="FFD4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01" w:themeColor="accent4"/>
          <w:left w:val="single" w:sz="8" w:space="0" w:color="FFD401" w:themeColor="accent4"/>
          <w:bottom w:val="single" w:sz="8" w:space="0" w:color="FFD401" w:themeColor="accent4"/>
          <w:right w:val="single" w:sz="8" w:space="0" w:color="FFD401" w:themeColor="accent4"/>
          <w:insideH w:val="nil"/>
          <w:insideV w:val="single" w:sz="8" w:space="0" w:color="FFD4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01" w:themeColor="accent4"/>
          <w:left w:val="single" w:sz="8" w:space="0" w:color="FFD401" w:themeColor="accent4"/>
          <w:bottom w:val="single" w:sz="8" w:space="0" w:color="FFD401" w:themeColor="accent4"/>
          <w:right w:val="single" w:sz="8" w:space="0" w:color="FFD401" w:themeColor="accent4"/>
        </w:tcBorders>
      </w:tcPr>
    </w:tblStylePr>
    <w:tblStylePr w:type="band1Vert">
      <w:tblPr/>
      <w:tcPr>
        <w:tcBorders>
          <w:top w:val="single" w:sz="8" w:space="0" w:color="FFD401" w:themeColor="accent4"/>
          <w:left w:val="single" w:sz="8" w:space="0" w:color="FFD401" w:themeColor="accent4"/>
          <w:bottom w:val="single" w:sz="8" w:space="0" w:color="FFD401" w:themeColor="accent4"/>
          <w:right w:val="single" w:sz="8" w:space="0" w:color="FFD401" w:themeColor="accent4"/>
        </w:tcBorders>
        <w:shd w:val="clear" w:color="auto" w:fill="FFF4C0" w:themeFill="accent4" w:themeFillTint="3F"/>
      </w:tcPr>
    </w:tblStylePr>
    <w:tblStylePr w:type="band1Horz">
      <w:tblPr/>
      <w:tcPr>
        <w:tcBorders>
          <w:top w:val="single" w:sz="8" w:space="0" w:color="FFD401" w:themeColor="accent4"/>
          <w:left w:val="single" w:sz="8" w:space="0" w:color="FFD401" w:themeColor="accent4"/>
          <w:bottom w:val="single" w:sz="8" w:space="0" w:color="FFD401" w:themeColor="accent4"/>
          <w:right w:val="single" w:sz="8" w:space="0" w:color="FFD401" w:themeColor="accent4"/>
          <w:insideV w:val="single" w:sz="8" w:space="0" w:color="FFD401" w:themeColor="accent4"/>
        </w:tcBorders>
        <w:shd w:val="clear" w:color="auto" w:fill="FFF4C0" w:themeFill="accent4" w:themeFillTint="3F"/>
      </w:tcPr>
    </w:tblStylePr>
    <w:tblStylePr w:type="band2Horz">
      <w:tblPr/>
      <w:tcPr>
        <w:tcBorders>
          <w:top w:val="single" w:sz="8" w:space="0" w:color="FFD401" w:themeColor="accent4"/>
          <w:left w:val="single" w:sz="8" w:space="0" w:color="FFD401" w:themeColor="accent4"/>
          <w:bottom w:val="single" w:sz="8" w:space="0" w:color="FFD401" w:themeColor="accent4"/>
          <w:right w:val="single" w:sz="8" w:space="0" w:color="FFD401" w:themeColor="accent4"/>
          <w:insideV w:val="single" w:sz="8" w:space="0" w:color="FFD401" w:themeColor="accent4"/>
        </w:tcBorders>
      </w:tcPr>
    </w:tblStylePr>
  </w:style>
  <w:style w:type="table" w:styleId="LightGrid-Accent5">
    <w:name w:val="Light Grid Accent 5"/>
    <w:basedOn w:val="TableNormal"/>
    <w:uiPriority w:val="62"/>
    <w:locked/>
    <w:rsid w:val="00372E2B"/>
    <w:pPr>
      <w:spacing w:before="170" w:after="0" w:line="240" w:lineRule="auto"/>
    </w:pPr>
    <w:tblPr>
      <w:tblStyleRowBandSize w:val="1"/>
      <w:tblStyleColBandSize w:val="1"/>
      <w:tblBorders>
        <w:top w:val="single" w:sz="8" w:space="0" w:color="039E9A" w:themeColor="accent5"/>
        <w:left w:val="single" w:sz="8" w:space="0" w:color="039E9A" w:themeColor="accent5"/>
        <w:bottom w:val="single" w:sz="8" w:space="0" w:color="039E9A" w:themeColor="accent5"/>
        <w:right w:val="single" w:sz="8" w:space="0" w:color="039E9A" w:themeColor="accent5"/>
        <w:insideH w:val="single" w:sz="8" w:space="0" w:color="039E9A" w:themeColor="accent5"/>
        <w:insideV w:val="single" w:sz="8" w:space="0" w:color="039E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9E9A" w:themeColor="accent5"/>
          <w:left w:val="single" w:sz="8" w:space="0" w:color="039E9A" w:themeColor="accent5"/>
          <w:bottom w:val="single" w:sz="18" w:space="0" w:color="039E9A" w:themeColor="accent5"/>
          <w:right w:val="single" w:sz="8" w:space="0" w:color="039E9A" w:themeColor="accent5"/>
          <w:insideH w:val="nil"/>
          <w:insideV w:val="single" w:sz="8" w:space="0" w:color="039E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9E9A" w:themeColor="accent5"/>
          <w:left w:val="single" w:sz="8" w:space="0" w:color="039E9A" w:themeColor="accent5"/>
          <w:bottom w:val="single" w:sz="8" w:space="0" w:color="039E9A" w:themeColor="accent5"/>
          <w:right w:val="single" w:sz="8" w:space="0" w:color="039E9A" w:themeColor="accent5"/>
          <w:insideH w:val="nil"/>
          <w:insideV w:val="single" w:sz="8" w:space="0" w:color="039E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9E9A" w:themeColor="accent5"/>
          <w:left w:val="single" w:sz="8" w:space="0" w:color="039E9A" w:themeColor="accent5"/>
          <w:bottom w:val="single" w:sz="8" w:space="0" w:color="039E9A" w:themeColor="accent5"/>
          <w:right w:val="single" w:sz="8" w:space="0" w:color="039E9A" w:themeColor="accent5"/>
        </w:tcBorders>
      </w:tcPr>
    </w:tblStylePr>
    <w:tblStylePr w:type="band1Vert">
      <w:tblPr/>
      <w:tcPr>
        <w:tcBorders>
          <w:top w:val="single" w:sz="8" w:space="0" w:color="039E9A" w:themeColor="accent5"/>
          <w:left w:val="single" w:sz="8" w:space="0" w:color="039E9A" w:themeColor="accent5"/>
          <w:bottom w:val="single" w:sz="8" w:space="0" w:color="039E9A" w:themeColor="accent5"/>
          <w:right w:val="single" w:sz="8" w:space="0" w:color="039E9A" w:themeColor="accent5"/>
        </w:tcBorders>
        <w:shd w:val="clear" w:color="auto" w:fill="AAFDFB" w:themeFill="accent5" w:themeFillTint="3F"/>
      </w:tcPr>
    </w:tblStylePr>
    <w:tblStylePr w:type="band1Horz">
      <w:tblPr/>
      <w:tcPr>
        <w:tcBorders>
          <w:top w:val="single" w:sz="8" w:space="0" w:color="039E9A" w:themeColor="accent5"/>
          <w:left w:val="single" w:sz="8" w:space="0" w:color="039E9A" w:themeColor="accent5"/>
          <w:bottom w:val="single" w:sz="8" w:space="0" w:color="039E9A" w:themeColor="accent5"/>
          <w:right w:val="single" w:sz="8" w:space="0" w:color="039E9A" w:themeColor="accent5"/>
          <w:insideV w:val="single" w:sz="8" w:space="0" w:color="039E9A" w:themeColor="accent5"/>
        </w:tcBorders>
        <w:shd w:val="clear" w:color="auto" w:fill="AAFDFB" w:themeFill="accent5" w:themeFillTint="3F"/>
      </w:tcPr>
    </w:tblStylePr>
    <w:tblStylePr w:type="band2Horz">
      <w:tblPr/>
      <w:tcPr>
        <w:tcBorders>
          <w:top w:val="single" w:sz="8" w:space="0" w:color="039E9A" w:themeColor="accent5"/>
          <w:left w:val="single" w:sz="8" w:space="0" w:color="039E9A" w:themeColor="accent5"/>
          <w:bottom w:val="single" w:sz="8" w:space="0" w:color="039E9A" w:themeColor="accent5"/>
          <w:right w:val="single" w:sz="8" w:space="0" w:color="039E9A" w:themeColor="accent5"/>
          <w:insideV w:val="single" w:sz="8" w:space="0" w:color="039E9A" w:themeColor="accent5"/>
        </w:tcBorders>
      </w:tcPr>
    </w:tblStylePr>
  </w:style>
  <w:style w:type="table" w:styleId="LightGrid-Accent6">
    <w:name w:val="Light Grid Accent 6"/>
    <w:basedOn w:val="TableNormal"/>
    <w:uiPriority w:val="62"/>
    <w:locked/>
    <w:rsid w:val="00372E2B"/>
    <w:pPr>
      <w:spacing w:before="170" w:after="0" w:line="240" w:lineRule="auto"/>
    </w:pPr>
    <w:tblPr>
      <w:tblStyleRowBandSize w:val="1"/>
      <w:tblStyleColBandSize w:val="1"/>
      <w:tblBorders>
        <w:top w:val="single" w:sz="8" w:space="0" w:color="C7411E" w:themeColor="accent6"/>
        <w:left w:val="single" w:sz="8" w:space="0" w:color="C7411E" w:themeColor="accent6"/>
        <w:bottom w:val="single" w:sz="8" w:space="0" w:color="C7411E" w:themeColor="accent6"/>
        <w:right w:val="single" w:sz="8" w:space="0" w:color="C7411E" w:themeColor="accent6"/>
        <w:insideH w:val="single" w:sz="8" w:space="0" w:color="C7411E" w:themeColor="accent6"/>
        <w:insideV w:val="single" w:sz="8" w:space="0" w:color="C741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411E" w:themeColor="accent6"/>
          <w:left w:val="single" w:sz="8" w:space="0" w:color="C7411E" w:themeColor="accent6"/>
          <w:bottom w:val="single" w:sz="18" w:space="0" w:color="C7411E" w:themeColor="accent6"/>
          <w:right w:val="single" w:sz="8" w:space="0" w:color="C7411E" w:themeColor="accent6"/>
          <w:insideH w:val="nil"/>
          <w:insideV w:val="single" w:sz="8" w:space="0" w:color="C741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411E" w:themeColor="accent6"/>
          <w:left w:val="single" w:sz="8" w:space="0" w:color="C7411E" w:themeColor="accent6"/>
          <w:bottom w:val="single" w:sz="8" w:space="0" w:color="C7411E" w:themeColor="accent6"/>
          <w:right w:val="single" w:sz="8" w:space="0" w:color="C7411E" w:themeColor="accent6"/>
          <w:insideH w:val="nil"/>
          <w:insideV w:val="single" w:sz="8" w:space="0" w:color="C741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411E" w:themeColor="accent6"/>
          <w:left w:val="single" w:sz="8" w:space="0" w:color="C7411E" w:themeColor="accent6"/>
          <w:bottom w:val="single" w:sz="8" w:space="0" w:color="C7411E" w:themeColor="accent6"/>
          <w:right w:val="single" w:sz="8" w:space="0" w:color="C7411E" w:themeColor="accent6"/>
        </w:tcBorders>
      </w:tcPr>
    </w:tblStylePr>
    <w:tblStylePr w:type="band1Vert">
      <w:tblPr/>
      <w:tcPr>
        <w:tcBorders>
          <w:top w:val="single" w:sz="8" w:space="0" w:color="C7411E" w:themeColor="accent6"/>
          <w:left w:val="single" w:sz="8" w:space="0" w:color="C7411E" w:themeColor="accent6"/>
          <w:bottom w:val="single" w:sz="8" w:space="0" w:color="C7411E" w:themeColor="accent6"/>
          <w:right w:val="single" w:sz="8" w:space="0" w:color="C7411E" w:themeColor="accent6"/>
        </w:tcBorders>
        <w:shd w:val="clear" w:color="auto" w:fill="F6CCC2" w:themeFill="accent6" w:themeFillTint="3F"/>
      </w:tcPr>
    </w:tblStylePr>
    <w:tblStylePr w:type="band1Horz">
      <w:tblPr/>
      <w:tcPr>
        <w:tcBorders>
          <w:top w:val="single" w:sz="8" w:space="0" w:color="C7411E" w:themeColor="accent6"/>
          <w:left w:val="single" w:sz="8" w:space="0" w:color="C7411E" w:themeColor="accent6"/>
          <w:bottom w:val="single" w:sz="8" w:space="0" w:color="C7411E" w:themeColor="accent6"/>
          <w:right w:val="single" w:sz="8" w:space="0" w:color="C7411E" w:themeColor="accent6"/>
          <w:insideV w:val="single" w:sz="8" w:space="0" w:color="C7411E" w:themeColor="accent6"/>
        </w:tcBorders>
        <w:shd w:val="clear" w:color="auto" w:fill="F6CCC2" w:themeFill="accent6" w:themeFillTint="3F"/>
      </w:tcPr>
    </w:tblStylePr>
    <w:tblStylePr w:type="band2Horz">
      <w:tblPr/>
      <w:tcPr>
        <w:tcBorders>
          <w:top w:val="single" w:sz="8" w:space="0" w:color="C7411E" w:themeColor="accent6"/>
          <w:left w:val="single" w:sz="8" w:space="0" w:color="C7411E" w:themeColor="accent6"/>
          <w:bottom w:val="single" w:sz="8" w:space="0" w:color="C7411E" w:themeColor="accent6"/>
          <w:right w:val="single" w:sz="8" w:space="0" w:color="C7411E" w:themeColor="accent6"/>
          <w:insideV w:val="single" w:sz="8" w:space="0" w:color="C7411E" w:themeColor="accent6"/>
        </w:tcBorders>
      </w:tcPr>
    </w:tblStylePr>
  </w:style>
  <w:style w:type="table" w:styleId="LightList">
    <w:name w:val="Light List"/>
    <w:basedOn w:val="TableNormal"/>
    <w:uiPriority w:val="61"/>
    <w:locked/>
    <w:rsid w:val="00372E2B"/>
    <w:pPr>
      <w:spacing w:before="17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372E2B"/>
    <w:pPr>
      <w:spacing w:before="170" w:after="0" w:line="240" w:lineRule="auto"/>
    </w:pPr>
    <w:tblPr>
      <w:tblStyleRowBandSize w:val="1"/>
      <w:tblStyleColBandSize w:val="1"/>
      <w:tblBorders>
        <w:top w:val="single" w:sz="8" w:space="0" w:color="E37222" w:themeColor="accent1"/>
        <w:left w:val="single" w:sz="8" w:space="0" w:color="E37222" w:themeColor="accent1"/>
        <w:bottom w:val="single" w:sz="8" w:space="0" w:color="E37222" w:themeColor="accent1"/>
        <w:right w:val="single" w:sz="8" w:space="0" w:color="E37222" w:themeColor="accent1"/>
      </w:tblBorders>
    </w:tblPr>
    <w:tblStylePr w:type="firstRow">
      <w:pPr>
        <w:spacing w:before="0" w:after="0" w:line="240" w:lineRule="auto"/>
      </w:pPr>
      <w:rPr>
        <w:b/>
        <w:bCs/>
        <w:color w:val="FFFFFF" w:themeColor="background1"/>
      </w:rPr>
      <w:tblPr/>
      <w:tcPr>
        <w:shd w:val="clear" w:color="auto" w:fill="E37222" w:themeFill="accent1"/>
      </w:tcPr>
    </w:tblStylePr>
    <w:tblStylePr w:type="lastRow">
      <w:pPr>
        <w:spacing w:before="0" w:after="0" w:line="240" w:lineRule="auto"/>
      </w:pPr>
      <w:rPr>
        <w:b/>
        <w:bCs/>
      </w:rPr>
      <w:tblPr/>
      <w:tcPr>
        <w:tcBorders>
          <w:top w:val="double" w:sz="6" w:space="0" w:color="E37222" w:themeColor="accent1"/>
          <w:left w:val="single" w:sz="8" w:space="0" w:color="E37222" w:themeColor="accent1"/>
          <w:bottom w:val="single" w:sz="8" w:space="0" w:color="E37222" w:themeColor="accent1"/>
          <w:right w:val="single" w:sz="8" w:space="0" w:color="E37222" w:themeColor="accent1"/>
        </w:tcBorders>
      </w:tcPr>
    </w:tblStylePr>
    <w:tblStylePr w:type="firstCol">
      <w:rPr>
        <w:b/>
        <w:bCs/>
      </w:rPr>
    </w:tblStylePr>
    <w:tblStylePr w:type="lastCol">
      <w:rPr>
        <w:b/>
        <w:bCs/>
      </w:rPr>
    </w:tblStylePr>
    <w:tblStylePr w:type="band1Vert">
      <w:tblPr/>
      <w:tcPr>
        <w:tcBorders>
          <w:top w:val="single" w:sz="8" w:space="0" w:color="E37222" w:themeColor="accent1"/>
          <w:left w:val="single" w:sz="8" w:space="0" w:color="E37222" w:themeColor="accent1"/>
          <w:bottom w:val="single" w:sz="8" w:space="0" w:color="E37222" w:themeColor="accent1"/>
          <w:right w:val="single" w:sz="8" w:space="0" w:color="E37222" w:themeColor="accent1"/>
        </w:tcBorders>
      </w:tcPr>
    </w:tblStylePr>
    <w:tblStylePr w:type="band1Horz">
      <w:tblPr/>
      <w:tcPr>
        <w:tcBorders>
          <w:top w:val="single" w:sz="8" w:space="0" w:color="E37222" w:themeColor="accent1"/>
          <w:left w:val="single" w:sz="8" w:space="0" w:color="E37222" w:themeColor="accent1"/>
          <w:bottom w:val="single" w:sz="8" w:space="0" w:color="E37222" w:themeColor="accent1"/>
          <w:right w:val="single" w:sz="8" w:space="0" w:color="E37222" w:themeColor="accent1"/>
        </w:tcBorders>
      </w:tcPr>
    </w:tblStylePr>
  </w:style>
  <w:style w:type="table" w:styleId="LightList-Accent2">
    <w:name w:val="Light List Accent 2"/>
    <w:basedOn w:val="TableNormal"/>
    <w:uiPriority w:val="61"/>
    <w:locked/>
    <w:rsid w:val="00372E2B"/>
    <w:pPr>
      <w:spacing w:before="170" w:after="0" w:line="240" w:lineRule="auto"/>
    </w:pPr>
    <w:tblPr>
      <w:tblStyleRowBandSize w:val="1"/>
      <w:tblStyleColBandSize w:val="1"/>
      <w:tblBorders>
        <w:top w:val="single" w:sz="8" w:space="0" w:color="1F5D9E" w:themeColor="accent2"/>
        <w:left w:val="single" w:sz="8" w:space="0" w:color="1F5D9E" w:themeColor="accent2"/>
        <w:bottom w:val="single" w:sz="8" w:space="0" w:color="1F5D9E" w:themeColor="accent2"/>
        <w:right w:val="single" w:sz="8" w:space="0" w:color="1F5D9E" w:themeColor="accent2"/>
      </w:tblBorders>
    </w:tblPr>
    <w:tblStylePr w:type="firstRow">
      <w:pPr>
        <w:spacing w:before="0" w:after="0" w:line="240" w:lineRule="auto"/>
      </w:pPr>
      <w:rPr>
        <w:b/>
        <w:bCs/>
        <w:color w:val="FFFFFF" w:themeColor="background1"/>
      </w:rPr>
      <w:tblPr/>
      <w:tcPr>
        <w:shd w:val="clear" w:color="auto" w:fill="1F5D9E" w:themeFill="accent2"/>
      </w:tcPr>
    </w:tblStylePr>
    <w:tblStylePr w:type="lastRow">
      <w:pPr>
        <w:spacing w:before="0" w:after="0" w:line="240" w:lineRule="auto"/>
      </w:pPr>
      <w:rPr>
        <w:b/>
        <w:bCs/>
      </w:rPr>
      <w:tblPr/>
      <w:tcPr>
        <w:tcBorders>
          <w:top w:val="double" w:sz="6" w:space="0" w:color="1F5D9E" w:themeColor="accent2"/>
          <w:left w:val="single" w:sz="8" w:space="0" w:color="1F5D9E" w:themeColor="accent2"/>
          <w:bottom w:val="single" w:sz="8" w:space="0" w:color="1F5D9E" w:themeColor="accent2"/>
          <w:right w:val="single" w:sz="8" w:space="0" w:color="1F5D9E" w:themeColor="accent2"/>
        </w:tcBorders>
      </w:tcPr>
    </w:tblStylePr>
    <w:tblStylePr w:type="firstCol">
      <w:rPr>
        <w:b/>
        <w:bCs/>
      </w:rPr>
    </w:tblStylePr>
    <w:tblStylePr w:type="lastCol">
      <w:rPr>
        <w:b/>
        <w:bCs/>
      </w:rPr>
    </w:tblStylePr>
    <w:tblStylePr w:type="band1Vert">
      <w:tblPr/>
      <w:tcPr>
        <w:tcBorders>
          <w:top w:val="single" w:sz="8" w:space="0" w:color="1F5D9E" w:themeColor="accent2"/>
          <w:left w:val="single" w:sz="8" w:space="0" w:color="1F5D9E" w:themeColor="accent2"/>
          <w:bottom w:val="single" w:sz="8" w:space="0" w:color="1F5D9E" w:themeColor="accent2"/>
          <w:right w:val="single" w:sz="8" w:space="0" w:color="1F5D9E" w:themeColor="accent2"/>
        </w:tcBorders>
      </w:tcPr>
    </w:tblStylePr>
    <w:tblStylePr w:type="band1Horz">
      <w:tblPr/>
      <w:tcPr>
        <w:tcBorders>
          <w:top w:val="single" w:sz="8" w:space="0" w:color="1F5D9E" w:themeColor="accent2"/>
          <w:left w:val="single" w:sz="8" w:space="0" w:color="1F5D9E" w:themeColor="accent2"/>
          <w:bottom w:val="single" w:sz="8" w:space="0" w:color="1F5D9E" w:themeColor="accent2"/>
          <w:right w:val="single" w:sz="8" w:space="0" w:color="1F5D9E" w:themeColor="accent2"/>
        </w:tcBorders>
      </w:tcPr>
    </w:tblStylePr>
  </w:style>
  <w:style w:type="table" w:styleId="LightList-Accent3">
    <w:name w:val="Light List Accent 3"/>
    <w:basedOn w:val="TableNormal"/>
    <w:uiPriority w:val="61"/>
    <w:locked/>
    <w:rsid w:val="00372E2B"/>
    <w:pPr>
      <w:spacing w:before="170" w:after="0" w:line="240" w:lineRule="auto"/>
    </w:pPr>
    <w:tblPr>
      <w:tblStyleRowBandSize w:val="1"/>
      <w:tblStyleColBandSize w:val="1"/>
      <w:tblBorders>
        <w:top w:val="single" w:sz="8" w:space="0" w:color="7BC7BA" w:themeColor="accent3"/>
        <w:left w:val="single" w:sz="8" w:space="0" w:color="7BC7BA" w:themeColor="accent3"/>
        <w:bottom w:val="single" w:sz="8" w:space="0" w:color="7BC7BA" w:themeColor="accent3"/>
        <w:right w:val="single" w:sz="8" w:space="0" w:color="7BC7BA" w:themeColor="accent3"/>
      </w:tblBorders>
    </w:tblPr>
    <w:tblStylePr w:type="firstRow">
      <w:pPr>
        <w:spacing w:before="0" w:after="0" w:line="240" w:lineRule="auto"/>
      </w:pPr>
      <w:rPr>
        <w:b/>
        <w:bCs/>
        <w:color w:val="FFFFFF" w:themeColor="background1"/>
      </w:rPr>
      <w:tblPr/>
      <w:tcPr>
        <w:shd w:val="clear" w:color="auto" w:fill="7BC7BA" w:themeFill="accent3"/>
      </w:tcPr>
    </w:tblStylePr>
    <w:tblStylePr w:type="lastRow">
      <w:pPr>
        <w:spacing w:before="0" w:after="0" w:line="240" w:lineRule="auto"/>
      </w:pPr>
      <w:rPr>
        <w:b/>
        <w:bCs/>
      </w:rPr>
      <w:tblPr/>
      <w:tcPr>
        <w:tcBorders>
          <w:top w:val="double" w:sz="6" w:space="0" w:color="7BC7BA" w:themeColor="accent3"/>
          <w:left w:val="single" w:sz="8" w:space="0" w:color="7BC7BA" w:themeColor="accent3"/>
          <w:bottom w:val="single" w:sz="8" w:space="0" w:color="7BC7BA" w:themeColor="accent3"/>
          <w:right w:val="single" w:sz="8" w:space="0" w:color="7BC7BA" w:themeColor="accent3"/>
        </w:tcBorders>
      </w:tcPr>
    </w:tblStylePr>
    <w:tblStylePr w:type="firstCol">
      <w:rPr>
        <w:b/>
        <w:bCs/>
      </w:rPr>
    </w:tblStylePr>
    <w:tblStylePr w:type="lastCol">
      <w:rPr>
        <w:b/>
        <w:bCs/>
      </w:rPr>
    </w:tblStylePr>
    <w:tblStylePr w:type="band1Vert">
      <w:tblPr/>
      <w:tcPr>
        <w:tcBorders>
          <w:top w:val="single" w:sz="8" w:space="0" w:color="7BC7BA" w:themeColor="accent3"/>
          <w:left w:val="single" w:sz="8" w:space="0" w:color="7BC7BA" w:themeColor="accent3"/>
          <w:bottom w:val="single" w:sz="8" w:space="0" w:color="7BC7BA" w:themeColor="accent3"/>
          <w:right w:val="single" w:sz="8" w:space="0" w:color="7BC7BA" w:themeColor="accent3"/>
        </w:tcBorders>
      </w:tcPr>
    </w:tblStylePr>
    <w:tblStylePr w:type="band1Horz">
      <w:tblPr/>
      <w:tcPr>
        <w:tcBorders>
          <w:top w:val="single" w:sz="8" w:space="0" w:color="7BC7BA" w:themeColor="accent3"/>
          <w:left w:val="single" w:sz="8" w:space="0" w:color="7BC7BA" w:themeColor="accent3"/>
          <w:bottom w:val="single" w:sz="8" w:space="0" w:color="7BC7BA" w:themeColor="accent3"/>
          <w:right w:val="single" w:sz="8" w:space="0" w:color="7BC7BA" w:themeColor="accent3"/>
        </w:tcBorders>
      </w:tcPr>
    </w:tblStylePr>
  </w:style>
  <w:style w:type="table" w:styleId="LightList-Accent4">
    <w:name w:val="Light List Accent 4"/>
    <w:basedOn w:val="TableNormal"/>
    <w:uiPriority w:val="61"/>
    <w:locked/>
    <w:rsid w:val="00372E2B"/>
    <w:pPr>
      <w:spacing w:before="170" w:after="0" w:line="240" w:lineRule="auto"/>
    </w:pPr>
    <w:tblPr>
      <w:tblStyleRowBandSize w:val="1"/>
      <w:tblStyleColBandSize w:val="1"/>
      <w:tblBorders>
        <w:top w:val="single" w:sz="8" w:space="0" w:color="FFD401" w:themeColor="accent4"/>
        <w:left w:val="single" w:sz="8" w:space="0" w:color="FFD401" w:themeColor="accent4"/>
        <w:bottom w:val="single" w:sz="8" w:space="0" w:color="FFD401" w:themeColor="accent4"/>
        <w:right w:val="single" w:sz="8" w:space="0" w:color="FFD401" w:themeColor="accent4"/>
      </w:tblBorders>
    </w:tblPr>
    <w:tblStylePr w:type="firstRow">
      <w:pPr>
        <w:spacing w:before="0" w:after="0" w:line="240" w:lineRule="auto"/>
      </w:pPr>
      <w:rPr>
        <w:b/>
        <w:bCs/>
        <w:color w:val="FFFFFF" w:themeColor="background1"/>
      </w:rPr>
      <w:tblPr/>
      <w:tcPr>
        <w:shd w:val="clear" w:color="auto" w:fill="FFD401" w:themeFill="accent4"/>
      </w:tcPr>
    </w:tblStylePr>
    <w:tblStylePr w:type="lastRow">
      <w:pPr>
        <w:spacing w:before="0" w:after="0" w:line="240" w:lineRule="auto"/>
      </w:pPr>
      <w:rPr>
        <w:b/>
        <w:bCs/>
      </w:rPr>
      <w:tblPr/>
      <w:tcPr>
        <w:tcBorders>
          <w:top w:val="double" w:sz="6" w:space="0" w:color="FFD401" w:themeColor="accent4"/>
          <w:left w:val="single" w:sz="8" w:space="0" w:color="FFD401" w:themeColor="accent4"/>
          <w:bottom w:val="single" w:sz="8" w:space="0" w:color="FFD401" w:themeColor="accent4"/>
          <w:right w:val="single" w:sz="8" w:space="0" w:color="FFD401" w:themeColor="accent4"/>
        </w:tcBorders>
      </w:tcPr>
    </w:tblStylePr>
    <w:tblStylePr w:type="firstCol">
      <w:rPr>
        <w:b/>
        <w:bCs/>
      </w:rPr>
    </w:tblStylePr>
    <w:tblStylePr w:type="lastCol">
      <w:rPr>
        <w:b/>
        <w:bCs/>
      </w:rPr>
    </w:tblStylePr>
    <w:tblStylePr w:type="band1Vert">
      <w:tblPr/>
      <w:tcPr>
        <w:tcBorders>
          <w:top w:val="single" w:sz="8" w:space="0" w:color="FFD401" w:themeColor="accent4"/>
          <w:left w:val="single" w:sz="8" w:space="0" w:color="FFD401" w:themeColor="accent4"/>
          <w:bottom w:val="single" w:sz="8" w:space="0" w:color="FFD401" w:themeColor="accent4"/>
          <w:right w:val="single" w:sz="8" w:space="0" w:color="FFD401" w:themeColor="accent4"/>
        </w:tcBorders>
      </w:tcPr>
    </w:tblStylePr>
    <w:tblStylePr w:type="band1Horz">
      <w:tblPr/>
      <w:tcPr>
        <w:tcBorders>
          <w:top w:val="single" w:sz="8" w:space="0" w:color="FFD401" w:themeColor="accent4"/>
          <w:left w:val="single" w:sz="8" w:space="0" w:color="FFD401" w:themeColor="accent4"/>
          <w:bottom w:val="single" w:sz="8" w:space="0" w:color="FFD401" w:themeColor="accent4"/>
          <w:right w:val="single" w:sz="8" w:space="0" w:color="FFD401" w:themeColor="accent4"/>
        </w:tcBorders>
      </w:tcPr>
    </w:tblStylePr>
  </w:style>
  <w:style w:type="table" w:styleId="LightList-Accent5">
    <w:name w:val="Light List Accent 5"/>
    <w:basedOn w:val="TableNormal"/>
    <w:uiPriority w:val="61"/>
    <w:locked/>
    <w:rsid w:val="00372E2B"/>
    <w:pPr>
      <w:spacing w:before="170" w:after="0" w:line="240" w:lineRule="auto"/>
    </w:pPr>
    <w:tblPr>
      <w:tblStyleRowBandSize w:val="1"/>
      <w:tblStyleColBandSize w:val="1"/>
      <w:tblBorders>
        <w:top w:val="single" w:sz="8" w:space="0" w:color="039E9A" w:themeColor="accent5"/>
        <w:left w:val="single" w:sz="8" w:space="0" w:color="039E9A" w:themeColor="accent5"/>
        <w:bottom w:val="single" w:sz="8" w:space="0" w:color="039E9A" w:themeColor="accent5"/>
        <w:right w:val="single" w:sz="8" w:space="0" w:color="039E9A" w:themeColor="accent5"/>
      </w:tblBorders>
    </w:tblPr>
    <w:tblStylePr w:type="firstRow">
      <w:pPr>
        <w:spacing w:before="0" w:after="0" w:line="240" w:lineRule="auto"/>
      </w:pPr>
      <w:rPr>
        <w:b/>
        <w:bCs/>
        <w:color w:val="FFFFFF" w:themeColor="background1"/>
      </w:rPr>
      <w:tblPr/>
      <w:tcPr>
        <w:shd w:val="clear" w:color="auto" w:fill="039E9A" w:themeFill="accent5"/>
      </w:tcPr>
    </w:tblStylePr>
    <w:tblStylePr w:type="lastRow">
      <w:pPr>
        <w:spacing w:before="0" w:after="0" w:line="240" w:lineRule="auto"/>
      </w:pPr>
      <w:rPr>
        <w:b/>
        <w:bCs/>
      </w:rPr>
      <w:tblPr/>
      <w:tcPr>
        <w:tcBorders>
          <w:top w:val="double" w:sz="6" w:space="0" w:color="039E9A" w:themeColor="accent5"/>
          <w:left w:val="single" w:sz="8" w:space="0" w:color="039E9A" w:themeColor="accent5"/>
          <w:bottom w:val="single" w:sz="8" w:space="0" w:color="039E9A" w:themeColor="accent5"/>
          <w:right w:val="single" w:sz="8" w:space="0" w:color="039E9A" w:themeColor="accent5"/>
        </w:tcBorders>
      </w:tcPr>
    </w:tblStylePr>
    <w:tblStylePr w:type="firstCol">
      <w:rPr>
        <w:b/>
        <w:bCs/>
      </w:rPr>
    </w:tblStylePr>
    <w:tblStylePr w:type="lastCol">
      <w:rPr>
        <w:b/>
        <w:bCs/>
      </w:rPr>
    </w:tblStylePr>
    <w:tblStylePr w:type="band1Vert">
      <w:tblPr/>
      <w:tcPr>
        <w:tcBorders>
          <w:top w:val="single" w:sz="8" w:space="0" w:color="039E9A" w:themeColor="accent5"/>
          <w:left w:val="single" w:sz="8" w:space="0" w:color="039E9A" w:themeColor="accent5"/>
          <w:bottom w:val="single" w:sz="8" w:space="0" w:color="039E9A" w:themeColor="accent5"/>
          <w:right w:val="single" w:sz="8" w:space="0" w:color="039E9A" w:themeColor="accent5"/>
        </w:tcBorders>
      </w:tcPr>
    </w:tblStylePr>
    <w:tblStylePr w:type="band1Horz">
      <w:tblPr/>
      <w:tcPr>
        <w:tcBorders>
          <w:top w:val="single" w:sz="8" w:space="0" w:color="039E9A" w:themeColor="accent5"/>
          <w:left w:val="single" w:sz="8" w:space="0" w:color="039E9A" w:themeColor="accent5"/>
          <w:bottom w:val="single" w:sz="8" w:space="0" w:color="039E9A" w:themeColor="accent5"/>
          <w:right w:val="single" w:sz="8" w:space="0" w:color="039E9A" w:themeColor="accent5"/>
        </w:tcBorders>
      </w:tcPr>
    </w:tblStylePr>
  </w:style>
  <w:style w:type="table" w:styleId="LightList-Accent6">
    <w:name w:val="Light List Accent 6"/>
    <w:basedOn w:val="TableNormal"/>
    <w:uiPriority w:val="61"/>
    <w:locked/>
    <w:rsid w:val="00372E2B"/>
    <w:pPr>
      <w:spacing w:before="170" w:after="0" w:line="240" w:lineRule="auto"/>
    </w:pPr>
    <w:tblPr>
      <w:tblStyleRowBandSize w:val="1"/>
      <w:tblStyleColBandSize w:val="1"/>
      <w:tblBorders>
        <w:top w:val="single" w:sz="8" w:space="0" w:color="C7411E" w:themeColor="accent6"/>
        <w:left w:val="single" w:sz="8" w:space="0" w:color="C7411E" w:themeColor="accent6"/>
        <w:bottom w:val="single" w:sz="8" w:space="0" w:color="C7411E" w:themeColor="accent6"/>
        <w:right w:val="single" w:sz="8" w:space="0" w:color="C7411E" w:themeColor="accent6"/>
      </w:tblBorders>
    </w:tblPr>
    <w:tblStylePr w:type="firstRow">
      <w:pPr>
        <w:spacing w:before="0" w:after="0" w:line="240" w:lineRule="auto"/>
      </w:pPr>
      <w:rPr>
        <w:b/>
        <w:bCs/>
        <w:color w:val="FFFFFF" w:themeColor="background1"/>
      </w:rPr>
      <w:tblPr/>
      <w:tcPr>
        <w:shd w:val="clear" w:color="auto" w:fill="C7411E" w:themeFill="accent6"/>
      </w:tcPr>
    </w:tblStylePr>
    <w:tblStylePr w:type="lastRow">
      <w:pPr>
        <w:spacing w:before="0" w:after="0" w:line="240" w:lineRule="auto"/>
      </w:pPr>
      <w:rPr>
        <w:b/>
        <w:bCs/>
      </w:rPr>
      <w:tblPr/>
      <w:tcPr>
        <w:tcBorders>
          <w:top w:val="double" w:sz="6" w:space="0" w:color="C7411E" w:themeColor="accent6"/>
          <w:left w:val="single" w:sz="8" w:space="0" w:color="C7411E" w:themeColor="accent6"/>
          <w:bottom w:val="single" w:sz="8" w:space="0" w:color="C7411E" w:themeColor="accent6"/>
          <w:right w:val="single" w:sz="8" w:space="0" w:color="C7411E" w:themeColor="accent6"/>
        </w:tcBorders>
      </w:tcPr>
    </w:tblStylePr>
    <w:tblStylePr w:type="firstCol">
      <w:rPr>
        <w:b/>
        <w:bCs/>
      </w:rPr>
    </w:tblStylePr>
    <w:tblStylePr w:type="lastCol">
      <w:rPr>
        <w:b/>
        <w:bCs/>
      </w:rPr>
    </w:tblStylePr>
    <w:tblStylePr w:type="band1Vert">
      <w:tblPr/>
      <w:tcPr>
        <w:tcBorders>
          <w:top w:val="single" w:sz="8" w:space="0" w:color="C7411E" w:themeColor="accent6"/>
          <w:left w:val="single" w:sz="8" w:space="0" w:color="C7411E" w:themeColor="accent6"/>
          <w:bottom w:val="single" w:sz="8" w:space="0" w:color="C7411E" w:themeColor="accent6"/>
          <w:right w:val="single" w:sz="8" w:space="0" w:color="C7411E" w:themeColor="accent6"/>
        </w:tcBorders>
      </w:tcPr>
    </w:tblStylePr>
    <w:tblStylePr w:type="band1Horz">
      <w:tblPr/>
      <w:tcPr>
        <w:tcBorders>
          <w:top w:val="single" w:sz="8" w:space="0" w:color="C7411E" w:themeColor="accent6"/>
          <w:left w:val="single" w:sz="8" w:space="0" w:color="C7411E" w:themeColor="accent6"/>
          <w:bottom w:val="single" w:sz="8" w:space="0" w:color="C7411E" w:themeColor="accent6"/>
          <w:right w:val="single" w:sz="8" w:space="0" w:color="C7411E" w:themeColor="accent6"/>
        </w:tcBorders>
      </w:tcPr>
    </w:tblStylePr>
  </w:style>
  <w:style w:type="table" w:styleId="LightShading">
    <w:name w:val="Light Shading"/>
    <w:basedOn w:val="TableNormal"/>
    <w:uiPriority w:val="60"/>
    <w:locked/>
    <w:rsid w:val="00372E2B"/>
    <w:pPr>
      <w:spacing w:before="17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372E2B"/>
    <w:pPr>
      <w:spacing w:before="170" w:after="0" w:line="240" w:lineRule="auto"/>
    </w:pPr>
    <w:rPr>
      <w:color w:val="AD5416" w:themeColor="accent1" w:themeShade="BF"/>
    </w:rPr>
    <w:tblPr>
      <w:tblStyleRowBandSize w:val="1"/>
      <w:tblStyleColBandSize w:val="1"/>
      <w:tblBorders>
        <w:top w:val="single" w:sz="8" w:space="0" w:color="E37222" w:themeColor="accent1"/>
        <w:bottom w:val="single" w:sz="8" w:space="0" w:color="E37222" w:themeColor="accent1"/>
      </w:tblBorders>
    </w:tblPr>
    <w:tblStylePr w:type="firstRow">
      <w:pPr>
        <w:spacing w:before="0" w:after="0" w:line="240" w:lineRule="auto"/>
      </w:pPr>
      <w:rPr>
        <w:b/>
        <w:bCs/>
      </w:rPr>
      <w:tblPr/>
      <w:tcPr>
        <w:tcBorders>
          <w:top w:val="single" w:sz="8" w:space="0" w:color="E37222" w:themeColor="accent1"/>
          <w:left w:val="nil"/>
          <w:bottom w:val="single" w:sz="8" w:space="0" w:color="E37222" w:themeColor="accent1"/>
          <w:right w:val="nil"/>
          <w:insideH w:val="nil"/>
          <w:insideV w:val="nil"/>
        </w:tcBorders>
      </w:tcPr>
    </w:tblStylePr>
    <w:tblStylePr w:type="lastRow">
      <w:pPr>
        <w:spacing w:before="0" w:after="0" w:line="240" w:lineRule="auto"/>
      </w:pPr>
      <w:rPr>
        <w:b/>
        <w:bCs/>
      </w:rPr>
      <w:tblPr/>
      <w:tcPr>
        <w:tcBorders>
          <w:top w:val="single" w:sz="8" w:space="0" w:color="E37222" w:themeColor="accent1"/>
          <w:left w:val="nil"/>
          <w:bottom w:val="single" w:sz="8" w:space="0" w:color="E372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BC8" w:themeFill="accent1" w:themeFillTint="3F"/>
      </w:tcPr>
    </w:tblStylePr>
    <w:tblStylePr w:type="band1Horz">
      <w:tblPr/>
      <w:tcPr>
        <w:tcBorders>
          <w:left w:val="nil"/>
          <w:right w:val="nil"/>
          <w:insideH w:val="nil"/>
          <w:insideV w:val="nil"/>
        </w:tcBorders>
        <w:shd w:val="clear" w:color="auto" w:fill="F8DBC8" w:themeFill="accent1" w:themeFillTint="3F"/>
      </w:tcPr>
    </w:tblStylePr>
  </w:style>
  <w:style w:type="table" w:styleId="LightShading-Accent2">
    <w:name w:val="Light Shading Accent 2"/>
    <w:basedOn w:val="TableNormal"/>
    <w:uiPriority w:val="60"/>
    <w:locked/>
    <w:rsid w:val="00372E2B"/>
    <w:pPr>
      <w:spacing w:before="170" w:after="0" w:line="240" w:lineRule="auto"/>
    </w:pPr>
    <w:rPr>
      <w:color w:val="174576" w:themeColor="accent2" w:themeShade="BF"/>
    </w:rPr>
    <w:tblPr>
      <w:tblStyleRowBandSize w:val="1"/>
      <w:tblStyleColBandSize w:val="1"/>
      <w:tblBorders>
        <w:top w:val="single" w:sz="8" w:space="0" w:color="1F5D9E" w:themeColor="accent2"/>
        <w:bottom w:val="single" w:sz="8" w:space="0" w:color="1F5D9E" w:themeColor="accent2"/>
      </w:tblBorders>
    </w:tblPr>
    <w:tblStylePr w:type="firstRow">
      <w:pPr>
        <w:spacing w:before="0" w:after="0" w:line="240" w:lineRule="auto"/>
      </w:pPr>
      <w:rPr>
        <w:b/>
        <w:bCs/>
      </w:rPr>
      <w:tblPr/>
      <w:tcPr>
        <w:tcBorders>
          <w:top w:val="single" w:sz="8" w:space="0" w:color="1F5D9E" w:themeColor="accent2"/>
          <w:left w:val="nil"/>
          <w:bottom w:val="single" w:sz="8" w:space="0" w:color="1F5D9E" w:themeColor="accent2"/>
          <w:right w:val="nil"/>
          <w:insideH w:val="nil"/>
          <w:insideV w:val="nil"/>
        </w:tcBorders>
      </w:tcPr>
    </w:tblStylePr>
    <w:tblStylePr w:type="lastRow">
      <w:pPr>
        <w:spacing w:before="0" w:after="0" w:line="240" w:lineRule="auto"/>
      </w:pPr>
      <w:rPr>
        <w:b/>
        <w:bCs/>
      </w:rPr>
      <w:tblPr/>
      <w:tcPr>
        <w:tcBorders>
          <w:top w:val="single" w:sz="8" w:space="0" w:color="1F5D9E" w:themeColor="accent2"/>
          <w:left w:val="nil"/>
          <w:bottom w:val="single" w:sz="8" w:space="0" w:color="1F5D9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6F2" w:themeFill="accent2" w:themeFillTint="3F"/>
      </w:tcPr>
    </w:tblStylePr>
    <w:tblStylePr w:type="band1Horz">
      <w:tblPr/>
      <w:tcPr>
        <w:tcBorders>
          <w:left w:val="nil"/>
          <w:right w:val="nil"/>
          <w:insideH w:val="nil"/>
          <w:insideV w:val="nil"/>
        </w:tcBorders>
        <w:shd w:val="clear" w:color="auto" w:fill="BCD6F2" w:themeFill="accent2" w:themeFillTint="3F"/>
      </w:tcPr>
    </w:tblStylePr>
  </w:style>
  <w:style w:type="table" w:styleId="LightShading-Accent3">
    <w:name w:val="Light Shading Accent 3"/>
    <w:basedOn w:val="TableNormal"/>
    <w:uiPriority w:val="60"/>
    <w:locked/>
    <w:rsid w:val="00372E2B"/>
    <w:pPr>
      <w:spacing w:before="170" w:after="0" w:line="240" w:lineRule="auto"/>
    </w:pPr>
    <w:rPr>
      <w:color w:val="47A998" w:themeColor="accent3" w:themeShade="BF"/>
    </w:rPr>
    <w:tblPr>
      <w:tblStyleRowBandSize w:val="1"/>
      <w:tblStyleColBandSize w:val="1"/>
      <w:tblBorders>
        <w:top w:val="single" w:sz="8" w:space="0" w:color="7BC7BA" w:themeColor="accent3"/>
        <w:bottom w:val="single" w:sz="8" w:space="0" w:color="7BC7BA" w:themeColor="accent3"/>
      </w:tblBorders>
    </w:tblPr>
    <w:tblStylePr w:type="firstRow">
      <w:pPr>
        <w:spacing w:before="0" w:after="0" w:line="240" w:lineRule="auto"/>
      </w:pPr>
      <w:rPr>
        <w:b/>
        <w:bCs/>
      </w:rPr>
      <w:tblPr/>
      <w:tcPr>
        <w:tcBorders>
          <w:top w:val="single" w:sz="8" w:space="0" w:color="7BC7BA" w:themeColor="accent3"/>
          <w:left w:val="nil"/>
          <w:bottom w:val="single" w:sz="8" w:space="0" w:color="7BC7BA" w:themeColor="accent3"/>
          <w:right w:val="nil"/>
          <w:insideH w:val="nil"/>
          <w:insideV w:val="nil"/>
        </w:tcBorders>
      </w:tcPr>
    </w:tblStylePr>
    <w:tblStylePr w:type="lastRow">
      <w:pPr>
        <w:spacing w:before="0" w:after="0" w:line="240" w:lineRule="auto"/>
      </w:pPr>
      <w:rPr>
        <w:b/>
        <w:bCs/>
      </w:rPr>
      <w:tblPr/>
      <w:tcPr>
        <w:tcBorders>
          <w:top w:val="single" w:sz="8" w:space="0" w:color="7BC7BA" w:themeColor="accent3"/>
          <w:left w:val="nil"/>
          <w:bottom w:val="single" w:sz="8" w:space="0" w:color="7BC7B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ED" w:themeFill="accent3" w:themeFillTint="3F"/>
      </w:tcPr>
    </w:tblStylePr>
    <w:tblStylePr w:type="band1Horz">
      <w:tblPr/>
      <w:tcPr>
        <w:tcBorders>
          <w:left w:val="nil"/>
          <w:right w:val="nil"/>
          <w:insideH w:val="nil"/>
          <w:insideV w:val="nil"/>
        </w:tcBorders>
        <w:shd w:val="clear" w:color="auto" w:fill="DEF1ED" w:themeFill="accent3" w:themeFillTint="3F"/>
      </w:tcPr>
    </w:tblStylePr>
  </w:style>
  <w:style w:type="table" w:styleId="LightShading-Accent4">
    <w:name w:val="Light Shading Accent 4"/>
    <w:basedOn w:val="TableNormal"/>
    <w:uiPriority w:val="60"/>
    <w:locked/>
    <w:rsid w:val="00372E2B"/>
    <w:pPr>
      <w:spacing w:before="170" w:after="0" w:line="240" w:lineRule="auto"/>
    </w:pPr>
    <w:rPr>
      <w:color w:val="BF9E00" w:themeColor="accent4" w:themeShade="BF"/>
    </w:rPr>
    <w:tblPr>
      <w:tblStyleRowBandSize w:val="1"/>
      <w:tblStyleColBandSize w:val="1"/>
      <w:tblBorders>
        <w:top w:val="single" w:sz="8" w:space="0" w:color="FFD401" w:themeColor="accent4"/>
        <w:bottom w:val="single" w:sz="8" w:space="0" w:color="FFD401" w:themeColor="accent4"/>
      </w:tblBorders>
    </w:tblPr>
    <w:tblStylePr w:type="firstRow">
      <w:pPr>
        <w:spacing w:before="0" w:after="0" w:line="240" w:lineRule="auto"/>
      </w:pPr>
      <w:rPr>
        <w:b/>
        <w:bCs/>
      </w:rPr>
      <w:tblPr/>
      <w:tcPr>
        <w:tcBorders>
          <w:top w:val="single" w:sz="8" w:space="0" w:color="FFD401" w:themeColor="accent4"/>
          <w:left w:val="nil"/>
          <w:bottom w:val="single" w:sz="8" w:space="0" w:color="FFD401" w:themeColor="accent4"/>
          <w:right w:val="nil"/>
          <w:insideH w:val="nil"/>
          <w:insideV w:val="nil"/>
        </w:tcBorders>
      </w:tcPr>
    </w:tblStylePr>
    <w:tblStylePr w:type="lastRow">
      <w:pPr>
        <w:spacing w:before="0" w:after="0" w:line="240" w:lineRule="auto"/>
      </w:pPr>
      <w:rPr>
        <w:b/>
        <w:bCs/>
      </w:rPr>
      <w:tblPr/>
      <w:tcPr>
        <w:tcBorders>
          <w:top w:val="single" w:sz="8" w:space="0" w:color="FFD401" w:themeColor="accent4"/>
          <w:left w:val="nil"/>
          <w:bottom w:val="single" w:sz="8" w:space="0" w:color="FFD4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0" w:themeFill="accent4" w:themeFillTint="3F"/>
      </w:tcPr>
    </w:tblStylePr>
    <w:tblStylePr w:type="band1Horz">
      <w:tblPr/>
      <w:tcPr>
        <w:tcBorders>
          <w:left w:val="nil"/>
          <w:right w:val="nil"/>
          <w:insideH w:val="nil"/>
          <w:insideV w:val="nil"/>
        </w:tcBorders>
        <w:shd w:val="clear" w:color="auto" w:fill="FFF4C0" w:themeFill="accent4" w:themeFillTint="3F"/>
      </w:tcPr>
    </w:tblStylePr>
  </w:style>
  <w:style w:type="table" w:styleId="LightShading-Accent5">
    <w:name w:val="Light Shading Accent 5"/>
    <w:basedOn w:val="TableNormal"/>
    <w:uiPriority w:val="60"/>
    <w:locked/>
    <w:rsid w:val="00372E2B"/>
    <w:pPr>
      <w:spacing w:before="170" w:after="0" w:line="240" w:lineRule="auto"/>
    </w:pPr>
    <w:rPr>
      <w:color w:val="027672" w:themeColor="accent5" w:themeShade="BF"/>
    </w:rPr>
    <w:tblPr>
      <w:tblStyleRowBandSize w:val="1"/>
      <w:tblStyleColBandSize w:val="1"/>
      <w:tblBorders>
        <w:top w:val="single" w:sz="8" w:space="0" w:color="039E9A" w:themeColor="accent5"/>
        <w:bottom w:val="single" w:sz="8" w:space="0" w:color="039E9A" w:themeColor="accent5"/>
      </w:tblBorders>
    </w:tblPr>
    <w:tblStylePr w:type="firstRow">
      <w:pPr>
        <w:spacing w:before="0" w:after="0" w:line="240" w:lineRule="auto"/>
      </w:pPr>
      <w:rPr>
        <w:b/>
        <w:bCs/>
      </w:rPr>
      <w:tblPr/>
      <w:tcPr>
        <w:tcBorders>
          <w:top w:val="single" w:sz="8" w:space="0" w:color="039E9A" w:themeColor="accent5"/>
          <w:left w:val="nil"/>
          <w:bottom w:val="single" w:sz="8" w:space="0" w:color="039E9A" w:themeColor="accent5"/>
          <w:right w:val="nil"/>
          <w:insideH w:val="nil"/>
          <w:insideV w:val="nil"/>
        </w:tcBorders>
      </w:tcPr>
    </w:tblStylePr>
    <w:tblStylePr w:type="lastRow">
      <w:pPr>
        <w:spacing w:before="0" w:after="0" w:line="240" w:lineRule="auto"/>
      </w:pPr>
      <w:rPr>
        <w:b/>
        <w:bCs/>
      </w:rPr>
      <w:tblPr/>
      <w:tcPr>
        <w:tcBorders>
          <w:top w:val="single" w:sz="8" w:space="0" w:color="039E9A" w:themeColor="accent5"/>
          <w:left w:val="nil"/>
          <w:bottom w:val="single" w:sz="8" w:space="0" w:color="039E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DFB" w:themeFill="accent5" w:themeFillTint="3F"/>
      </w:tcPr>
    </w:tblStylePr>
    <w:tblStylePr w:type="band1Horz">
      <w:tblPr/>
      <w:tcPr>
        <w:tcBorders>
          <w:left w:val="nil"/>
          <w:right w:val="nil"/>
          <w:insideH w:val="nil"/>
          <w:insideV w:val="nil"/>
        </w:tcBorders>
        <w:shd w:val="clear" w:color="auto" w:fill="AAFDFB" w:themeFill="accent5" w:themeFillTint="3F"/>
      </w:tcPr>
    </w:tblStylePr>
  </w:style>
  <w:style w:type="table" w:styleId="LightShading-Accent6">
    <w:name w:val="Light Shading Accent 6"/>
    <w:basedOn w:val="TableNormal"/>
    <w:uiPriority w:val="60"/>
    <w:locked/>
    <w:rsid w:val="00372E2B"/>
    <w:pPr>
      <w:spacing w:before="170" w:after="0" w:line="240" w:lineRule="auto"/>
    </w:pPr>
    <w:rPr>
      <w:color w:val="943016" w:themeColor="accent6" w:themeShade="BF"/>
    </w:rPr>
    <w:tblPr>
      <w:tblStyleRowBandSize w:val="1"/>
      <w:tblStyleColBandSize w:val="1"/>
      <w:tblBorders>
        <w:top w:val="single" w:sz="8" w:space="0" w:color="C7411E" w:themeColor="accent6"/>
        <w:bottom w:val="single" w:sz="8" w:space="0" w:color="C7411E" w:themeColor="accent6"/>
      </w:tblBorders>
    </w:tblPr>
    <w:tblStylePr w:type="firstRow">
      <w:pPr>
        <w:spacing w:before="0" w:after="0" w:line="240" w:lineRule="auto"/>
      </w:pPr>
      <w:rPr>
        <w:b/>
        <w:bCs/>
      </w:rPr>
      <w:tblPr/>
      <w:tcPr>
        <w:tcBorders>
          <w:top w:val="single" w:sz="8" w:space="0" w:color="C7411E" w:themeColor="accent6"/>
          <w:left w:val="nil"/>
          <w:bottom w:val="single" w:sz="8" w:space="0" w:color="C7411E" w:themeColor="accent6"/>
          <w:right w:val="nil"/>
          <w:insideH w:val="nil"/>
          <w:insideV w:val="nil"/>
        </w:tcBorders>
      </w:tcPr>
    </w:tblStylePr>
    <w:tblStylePr w:type="lastRow">
      <w:pPr>
        <w:spacing w:before="0" w:after="0" w:line="240" w:lineRule="auto"/>
      </w:pPr>
      <w:rPr>
        <w:b/>
        <w:bCs/>
      </w:rPr>
      <w:tblPr/>
      <w:tcPr>
        <w:tcBorders>
          <w:top w:val="single" w:sz="8" w:space="0" w:color="C7411E" w:themeColor="accent6"/>
          <w:left w:val="nil"/>
          <w:bottom w:val="single" w:sz="8" w:space="0" w:color="C741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CC2" w:themeFill="accent6" w:themeFillTint="3F"/>
      </w:tcPr>
    </w:tblStylePr>
    <w:tblStylePr w:type="band1Horz">
      <w:tblPr/>
      <w:tcPr>
        <w:tcBorders>
          <w:left w:val="nil"/>
          <w:right w:val="nil"/>
          <w:insideH w:val="nil"/>
          <w:insideV w:val="nil"/>
        </w:tcBorders>
        <w:shd w:val="clear" w:color="auto" w:fill="F6CCC2" w:themeFill="accent6" w:themeFillTint="3F"/>
      </w:tcPr>
    </w:tblStylePr>
  </w:style>
  <w:style w:type="character" w:styleId="LineNumber">
    <w:name w:val="line number"/>
    <w:basedOn w:val="DefaultParagraphFont"/>
    <w:uiPriority w:val="99"/>
    <w:semiHidden/>
    <w:unhideWhenUsed/>
    <w:locked/>
    <w:rsid w:val="00372E2B"/>
    <w:rPr>
      <w:noProof w:val="0"/>
      <w:lang w:val="en-AU"/>
    </w:rPr>
  </w:style>
  <w:style w:type="paragraph" w:styleId="TableofFigures">
    <w:name w:val="table of figures"/>
    <w:basedOn w:val="Normal"/>
    <w:next w:val="Normal"/>
    <w:uiPriority w:val="99"/>
    <w:rsid w:val="00425EAD"/>
    <w:pPr>
      <w:tabs>
        <w:tab w:val="clear" w:pos="357"/>
        <w:tab w:val="right" w:pos="9129"/>
      </w:tabs>
      <w:spacing w:after="100"/>
      <w:ind w:left="454" w:right="907"/>
    </w:pPr>
  </w:style>
  <w:style w:type="paragraph" w:styleId="List4">
    <w:name w:val="List 4"/>
    <w:basedOn w:val="Normal"/>
    <w:uiPriority w:val="99"/>
    <w:semiHidden/>
    <w:unhideWhenUsed/>
    <w:locked/>
    <w:rsid w:val="00372E2B"/>
    <w:pPr>
      <w:ind w:left="1132" w:hanging="283"/>
      <w:contextualSpacing/>
    </w:pPr>
  </w:style>
  <w:style w:type="paragraph" w:styleId="List5">
    <w:name w:val="List 5"/>
    <w:basedOn w:val="Normal"/>
    <w:uiPriority w:val="99"/>
    <w:semiHidden/>
    <w:unhideWhenUsed/>
    <w:locked/>
    <w:rsid w:val="00372E2B"/>
    <w:pPr>
      <w:ind w:left="1415" w:hanging="283"/>
      <w:contextualSpacing/>
    </w:pPr>
  </w:style>
  <w:style w:type="paragraph" w:styleId="ListBullet5">
    <w:name w:val="List Bullet 5"/>
    <w:basedOn w:val="Normal"/>
    <w:uiPriority w:val="99"/>
    <w:semiHidden/>
    <w:locked/>
    <w:rsid w:val="00372E2B"/>
    <w:pPr>
      <w:numPr>
        <w:numId w:val="8"/>
      </w:numPr>
      <w:contextualSpacing/>
    </w:pPr>
  </w:style>
  <w:style w:type="paragraph" w:styleId="ListContinue">
    <w:name w:val="List Continue"/>
    <w:basedOn w:val="Normal"/>
    <w:uiPriority w:val="99"/>
    <w:semiHidden/>
    <w:unhideWhenUsed/>
    <w:locked/>
    <w:rsid w:val="00372E2B"/>
    <w:pPr>
      <w:ind w:left="283"/>
      <w:contextualSpacing/>
    </w:pPr>
  </w:style>
  <w:style w:type="paragraph" w:styleId="ListContinue2">
    <w:name w:val="List Continue 2"/>
    <w:basedOn w:val="Normal"/>
    <w:uiPriority w:val="99"/>
    <w:semiHidden/>
    <w:unhideWhenUsed/>
    <w:locked/>
    <w:rsid w:val="00372E2B"/>
    <w:pPr>
      <w:ind w:left="566"/>
      <w:contextualSpacing/>
    </w:pPr>
  </w:style>
  <w:style w:type="paragraph" w:styleId="ListContinue3">
    <w:name w:val="List Continue 3"/>
    <w:basedOn w:val="Normal"/>
    <w:uiPriority w:val="99"/>
    <w:semiHidden/>
    <w:unhideWhenUsed/>
    <w:locked/>
    <w:rsid w:val="00372E2B"/>
    <w:pPr>
      <w:ind w:left="849"/>
      <w:contextualSpacing/>
    </w:pPr>
  </w:style>
  <w:style w:type="paragraph" w:styleId="ListContinue4">
    <w:name w:val="List Continue 4"/>
    <w:basedOn w:val="Normal"/>
    <w:uiPriority w:val="99"/>
    <w:semiHidden/>
    <w:unhideWhenUsed/>
    <w:locked/>
    <w:rsid w:val="00372E2B"/>
    <w:pPr>
      <w:ind w:left="1132"/>
      <w:contextualSpacing/>
    </w:pPr>
  </w:style>
  <w:style w:type="paragraph" w:styleId="ListContinue5">
    <w:name w:val="List Continue 5"/>
    <w:basedOn w:val="Normal"/>
    <w:uiPriority w:val="99"/>
    <w:semiHidden/>
    <w:unhideWhenUsed/>
    <w:locked/>
    <w:rsid w:val="00372E2B"/>
    <w:pPr>
      <w:ind w:left="1415"/>
      <w:contextualSpacing/>
    </w:pPr>
  </w:style>
  <w:style w:type="paragraph" w:styleId="ListNumber5">
    <w:name w:val="List Number 5"/>
    <w:basedOn w:val="Normal"/>
    <w:uiPriority w:val="99"/>
    <w:semiHidden/>
    <w:locked/>
    <w:rsid w:val="00372E2B"/>
    <w:pPr>
      <w:numPr>
        <w:numId w:val="10"/>
      </w:numPr>
      <w:contextualSpacing/>
    </w:pPr>
  </w:style>
  <w:style w:type="paragraph" w:styleId="ListParagraph">
    <w:name w:val="List Paragraph"/>
    <w:basedOn w:val="Normal"/>
    <w:uiPriority w:val="34"/>
    <w:qFormat/>
    <w:rsid w:val="0081475C"/>
    <w:pPr>
      <w:tabs>
        <w:tab w:val="clear" w:pos="357"/>
        <w:tab w:val="left" w:pos="720"/>
      </w:tabs>
      <w:ind w:left="720"/>
    </w:pPr>
  </w:style>
  <w:style w:type="paragraph" w:styleId="MacroText">
    <w:name w:val="macro"/>
    <w:link w:val="MacroTextChar"/>
    <w:uiPriority w:val="99"/>
    <w:semiHidden/>
    <w:unhideWhenUsed/>
    <w:locked/>
    <w:rsid w:val="00372E2B"/>
    <w:pPr>
      <w:tabs>
        <w:tab w:val="left" w:pos="480"/>
        <w:tab w:val="left" w:pos="960"/>
        <w:tab w:val="left" w:pos="1440"/>
        <w:tab w:val="left" w:pos="1920"/>
        <w:tab w:val="left" w:pos="2400"/>
        <w:tab w:val="left" w:pos="2880"/>
        <w:tab w:val="left" w:pos="3360"/>
        <w:tab w:val="left" w:pos="3840"/>
        <w:tab w:val="left" w:pos="4320"/>
      </w:tabs>
      <w:spacing w:before="170" w:after="0"/>
    </w:pPr>
    <w:rPr>
      <w:rFonts w:ascii="Consolas" w:hAnsi="Consolas"/>
      <w:sz w:val="20"/>
      <w:szCs w:val="20"/>
    </w:rPr>
  </w:style>
  <w:style w:type="character" w:customStyle="1" w:styleId="MacroTextChar">
    <w:name w:val="Macro Text Char"/>
    <w:basedOn w:val="DefaultParagraphFont"/>
    <w:link w:val="MacroText"/>
    <w:uiPriority w:val="99"/>
    <w:semiHidden/>
    <w:rsid w:val="00372E2B"/>
    <w:rPr>
      <w:rFonts w:ascii="Consolas" w:hAnsi="Consolas"/>
      <w:sz w:val="20"/>
      <w:szCs w:val="20"/>
    </w:rPr>
  </w:style>
  <w:style w:type="table" w:styleId="MediumGrid1">
    <w:name w:val="Medium Grid 1"/>
    <w:basedOn w:val="TableNormal"/>
    <w:uiPriority w:val="67"/>
    <w:locked/>
    <w:rsid w:val="00372E2B"/>
    <w:pPr>
      <w:spacing w:before="17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372E2B"/>
    <w:pPr>
      <w:spacing w:before="170" w:after="0" w:line="240" w:lineRule="auto"/>
    </w:pPr>
    <w:tblPr>
      <w:tblStyleRowBandSize w:val="1"/>
      <w:tblStyleColBandSize w:val="1"/>
      <w:tblBorders>
        <w:top w:val="single" w:sz="8" w:space="0" w:color="EA9459" w:themeColor="accent1" w:themeTint="BF"/>
        <w:left w:val="single" w:sz="8" w:space="0" w:color="EA9459" w:themeColor="accent1" w:themeTint="BF"/>
        <w:bottom w:val="single" w:sz="8" w:space="0" w:color="EA9459" w:themeColor="accent1" w:themeTint="BF"/>
        <w:right w:val="single" w:sz="8" w:space="0" w:color="EA9459" w:themeColor="accent1" w:themeTint="BF"/>
        <w:insideH w:val="single" w:sz="8" w:space="0" w:color="EA9459" w:themeColor="accent1" w:themeTint="BF"/>
        <w:insideV w:val="single" w:sz="8" w:space="0" w:color="EA9459" w:themeColor="accent1" w:themeTint="BF"/>
      </w:tblBorders>
    </w:tblPr>
    <w:tcPr>
      <w:shd w:val="clear" w:color="auto" w:fill="F8DBC8" w:themeFill="accent1" w:themeFillTint="3F"/>
    </w:tcPr>
    <w:tblStylePr w:type="firstRow">
      <w:rPr>
        <w:b/>
        <w:bCs/>
      </w:rPr>
    </w:tblStylePr>
    <w:tblStylePr w:type="lastRow">
      <w:rPr>
        <w:b/>
        <w:bCs/>
      </w:rPr>
      <w:tblPr/>
      <w:tcPr>
        <w:tcBorders>
          <w:top w:val="single" w:sz="18" w:space="0" w:color="EA9459" w:themeColor="accent1" w:themeTint="BF"/>
        </w:tcBorders>
      </w:tcPr>
    </w:tblStylePr>
    <w:tblStylePr w:type="firstCol">
      <w:rPr>
        <w:b/>
        <w:bCs/>
      </w:rPr>
    </w:tblStylePr>
    <w:tblStylePr w:type="lastCol">
      <w:rPr>
        <w:b/>
        <w:bCs/>
      </w:rPr>
    </w:tblStylePr>
    <w:tblStylePr w:type="band1Vert">
      <w:tblPr/>
      <w:tcPr>
        <w:shd w:val="clear" w:color="auto" w:fill="F1B890" w:themeFill="accent1" w:themeFillTint="7F"/>
      </w:tcPr>
    </w:tblStylePr>
    <w:tblStylePr w:type="band1Horz">
      <w:tblPr/>
      <w:tcPr>
        <w:shd w:val="clear" w:color="auto" w:fill="F1B890" w:themeFill="accent1" w:themeFillTint="7F"/>
      </w:tcPr>
    </w:tblStylePr>
  </w:style>
  <w:style w:type="table" w:styleId="MediumGrid1-Accent2">
    <w:name w:val="Medium Grid 1 Accent 2"/>
    <w:basedOn w:val="TableNormal"/>
    <w:uiPriority w:val="67"/>
    <w:locked/>
    <w:rsid w:val="00372E2B"/>
    <w:pPr>
      <w:spacing w:before="170" w:after="0" w:line="240" w:lineRule="auto"/>
    </w:pPr>
    <w:tblPr>
      <w:tblStyleRowBandSize w:val="1"/>
      <w:tblStyleColBandSize w:val="1"/>
      <w:tblBorders>
        <w:top w:val="single" w:sz="8" w:space="0" w:color="3584D7" w:themeColor="accent2" w:themeTint="BF"/>
        <w:left w:val="single" w:sz="8" w:space="0" w:color="3584D7" w:themeColor="accent2" w:themeTint="BF"/>
        <w:bottom w:val="single" w:sz="8" w:space="0" w:color="3584D7" w:themeColor="accent2" w:themeTint="BF"/>
        <w:right w:val="single" w:sz="8" w:space="0" w:color="3584D7" w:themeColor="accent2" w:themeTint="BF"/>
        <w:insideH w:val="single" w:sz="8" w:space="0" w:color="3584D7" w:themeColor="accent2" w:themeTint="BF"/>
        <w:insideV w:val="single" w:sz="8" w:space="0" w:color="3584D7" w:themeColor="accent2" w:themeTint="BF"/>
      </w:tblBorders>
    </w:tblPr>
    <w:tcPr>
      <w:shd w:val="clear" w:color="auto" w:fill="BCD6F2" w:themeFill="accent2" w:themeFillTint="3F"/>
    </w:tcPr>
    <w:tblStylePr w:type="firstRow">
      <w:rPr>
        <w:b/>
        <w:bCs/>
      </w:rPr>
    </w:tblStylePr>
    <w:tblStylePr w:type="lastRow">
      <w:rPr>
        <w:b/>
        <w:bCs/>
      </w:rPr>
      <w:tblPr/>
      <w:tcPr>
        <w:tcBorders>
          <w:top w:val="single" w:sz="18" w:space="0" w:color="3584D7" w:themeColor="accent2" w:themeTint="BF"/>
        </w:tcBorders>
      </w:tcPr>
    </w:tblStylePr>
    <w:tblStylePr w:type="firstCol">
      <w:rPr>
        <w:b/>
        <w:bCs/>
      </w:rPr>
    </w:tblStylePr>
    <w:tblStylePr w:type="lastCol">
      <w:rPr>
        <w:b/>
        <w:bCs/>
      </w:rPr>
    </w:tblStylePr>
    <w:tblStylePr w:type="band1Vert">
      <w:tblPr/>
      <w:tcPr>
        <w:shd w:val="clear" w:color="auto" w:fill="79ADE4" w:themeFill="accent2" w:themeFillTint="7F"/>
      </w:tcPr>
    </w:tblStylePr>
    <w:tblStylePr w:type="band1Horz">
      <w:tblPr/>
      <w:tcPr>
        <w:shd w:val="clear" w:color="auto" w:fill="79ADE4" w:themeFill="accent2" w:themeFillTint="7F"/>
      </w:tcPr>
    </w:tblStylePr>
  </w:style>
  <w:style w:type="table" w:styleId="MediumGrid1-Accent3">
    <w:name w:val="Medium Grid 1 Accent 3"/>
    <w:basedOn w:val="TableNormal"/>
    <w:uiPriority w:val="67"/>
    <w:locked/>
    <w:rsid w:val="00372E2B"/>
    <w:pPr>
      <w:spacing w:before="170" w:after="0" w:line="240" w:lineRule="auto"/>
    </w:pPr>
    <w:tblPr>
      <w:tblStyleRowBandSize w:val="1"/>
      <w:tblStyleColBandSize w:val="1"/>
      <w:tblBorders>
        <w:top w:val="single" w:sz="8" w:space="0" w:color="9CD5CB" w:themeColor="accent3" w:themeTint="BF"/>
        <w:left w:val="single" w:sz="8" w:space="0" w:color="9CD5CB" w:themeColor="accent3" w:themeTint="BF"/>
        <w:bottom w:val="single" w:sz="8" w:space="0" w:color="9CD5CB" w:themeColor="accent3" w:themeTint="BF"/>
        <w:right w:val="single" w:sz="8" w:space="0" w:color="9CD5CB" w:themeColor="accent3" w:themeTint="BF"/>
        <w:insideH w:val="single" w:sz="8" w:space="0" w:color="9CD5CB" w:themeColor="accent3" w:themeTint="BF"/>
        <w:insideV w:val="single" w:sz="8" w:space="0" w:color="9CD5CB" w:themeColor="accent3" w:themeTint="BF"/>
      </w:tblBorders>
    </w:tblPr>
    <w:tcPr>
      <w:shd w:val="clear" w:color="auto" w:fill="DEF1ED" w:themeFill="accent3" w:themeFillTint="3F"/>
    </w:tcPr>
    <w:tblStylePr w:type="firstRow">
      <w:rPr>
        <w:b/>
        <w:bCs/>
      </w:rPr>
    </w:tblStylePr>
    <w:tblStylePr w:type="lastRow">
      <w:rPr>
        <w:b/>
        <w:bCs/>
      </w:rPr>
      <w:tblPr/>
      <w:tcPr>
        <w:tcBorders>
          <w:top w:val="single" w:sz="18" w:space="0" w:color="9CD5CB" w:themeColor="accent3" w:themeTint="BF"/>
        </w:tcBorders>
      </w:tcPr>
    </w:tblStylePr>
    <w:tblStylePr w:type="firstCol">
      <w:rPr>
        <w:b/>
        <w:bCs/>
      </w:rPr>
    </w:tblStylePr>
    <w:tblStylePr w:type="lastCol">
      <w:rPr>
        <w:b/>
        <w:bCs/>
      </w:rPr>
    </w:tblStylePr>
    <w:tblStylePr w:type="band1Vert">
      <w:tblPr/>
      <w:tcPr>
        <w:shd w:val="clear" w:color="auto" w:fill="BDE3DC" w:themeFill="accent3" w:themeFillTint="7F"/>
      </w:tcPr>
    </w:tblStylePr>
    <w:tblStylePr w:type="band1Horz">
      <w:tblPr/>
      <w:tcPr>
        <w:shd w:val="clear" w:color="auto" w:fill="BDE3DC" w:themeFill="accent3" w:themeFillTint="7F"/>
      </w:tcPr>
    </w:tblStylePr>
  </w:style>
  <w:style w:type="table" w:styleId="MediumGrid1-Accent4">
    <w:name w:val="Medium Grid 1 Accent 4"/>
    <w:basedOn w:val="TableNormal"/>
    <w:uiPriority w:val="67"/>
    <w:locked/>
    <w:rsid w:val="00372E2B"/>
    <w:pPr>
      <w:spacing w:before="170" w:after="0" w:line="240" w:lineRule="auto"/>
    </w:pPr>
    <w:tblPr>
      <w:tblStyleRowBandSize w:val="1"/>
      <w:tblStyleColBandSize w:val="1"/>
      <w:tblBorders>
        <w:top w:val="single" w:sz="8" w:space="0" w:color="FFDE40" w:themeColor="accent4" w:themeTint="BF"/>
        <w:left w:val="single" w:sz="8" w:space="0" w:color="FFDE40" w:themeColor="accent4" w:themeTint="BF"/>
        <w:bottom w:val="single" w:sz="8" w:space="0" w:color="FFDE40" w:themeColor="accent4" w:themeTint="BF"/>
        <w:right w:val="single" w:sz="8" w:space="0" w:color="FFDE40" w:themeColor="accent4" w:themeTint="BF"/>
        <w:insideH w:val="single" w:sz="8" w:space="0" w:color="FFDE40" w:themeColor="accent4" w:themeTint="BF"/>
        <w:insideV w:val="single" w:sz="8" w:space="0" w:color="FFDE40" w:themeColor="accent4" w:themeTint="BF"/>
      </w:tblBorders>
    </w:tblPr>
    <w:tcPr>
      <w:shd w:val="clear" w:color="auto" w:fill="FFF4C0" w:themeFill="accent4" w:themeFillTint="3F"/>
    </w:tcPr>
    <w:tblStylePr w:type="firstRow">
      <w:rPr>
        <w:b/>
        <w:bCs/>
      </w:rPr>
    </w:tblStylePr>
    <w:tblStylePr w:type="lastRow">
      <w:rPr>
        <w:b/>
        <w:bCs/>
      </w:rPr>
      <w:tblPr/>
      <w:tcPr>
        <w:tcBorders>
          <w:top w:val="single" w:sz="18" w:space="0" w:color="FFDE40" w:themeColor="accent4" w:themeTint="BF"/>
        </w:tcBorders>
      </w:tcPr>
    </w:tblStylePr>
    <w:tblStylePr w:type="firstCol">
      <w:rPr>
        <w:b/>
        <w:bCs/>
      </w:rPr>
    </w:tblStylePr>
    <w:tblStylePr w:type="lastCol">
      <w:rPr>
        <w:b/>
        <w:bCs/>
      </w:rPr>
    </w:tblStylePr>
    <w:tblStylePr w:type="band1Vert">
      <w:tblPr/>
      <w:tcPr>
        <w:shd w:val="clear" w:color="auto" w:fill="FFE980" w:themeFill="accent4" w:themeFillTint="7F"/>
      </w:tcPr>
    </w:tblStylePr>
    <w:tblStylePr w:type="band1Horz">
      <w:tblPr/>
      <w:tcPr>
        <w:shd w:val="clear" w:color="auto" w:fill="FFE980" w:themeFill="accent4" w:themeFillTint="7F"/>
      </w:tcPr>
    </w:tblStylePr>
  </w:style>
  <w:style w:type="table" w:styleId="MediumGrid1-Accent5">
    <w:name w:val="Medium Grid 1 Accent 5"/>
    <w:basedOn w:val="TableNormal"/>
    <w:uiPriority w:val="67"/>
    <w:locked/>
    <w:rsid w:val="00372E2B"/>
    <w:pPr>
      <w:spacing w:before="170" w:after="0" w:line="240" w:lineRule="auto"/>
    </w:pPr>
    <w:tblPr>
      <w:tblStyleRowBandSize w:val="1"/>
      <w:tblStyleColBandSize w:val="1"/>
      <w:tblBorders>
        <w:top w:val="single" w:sz="8" w:space="0" w:color="04F3EC" w:themeColor="accent5" w:themeTint="BF"/>
        <w:left w:val="single" w:sz="8" w:space="0" w:color="04F3EC" w:themeColor="accent5" w:themeTint="BF"/>
        <w:bottom w:val="single" w:sz="8" w:space="0" w:color="04F3EC" w:themeColor="accent5" w:themeTint="BF"/>
        <w:right w:val="single" w:sz="8" w:space="0" w:color="04F3EC" w:themeColor="accent5" w:themeTint="BF"/>
        <w:insideH w:val="single" w:sz="8" w:space="0" w:color="04F3EC" w:themeColor="accent5" w:themeTint="BF"/>
        <w:insideV w:val="single" w:sz="8" w:space="0" w:color="04F3EC" w:themeColor="accent5" w:themeTint="BF"/>
      </w:tblBorders>
    </w:tblPr>
    <w:tcPr>
      <w:shd w:val="clear" w:color="auto" w:fill="AAFDFB" w:themeFill="accent5" w:themeFillTint="3F"/>
    </w:tcPr>
    <w:tblStylePr w:type="firstRow">
      <w:rPr>
        <w:b/>
        <w:bCs/>
      </w:rPr>
    </w:tblStylePr>
    <w:tblStylePr w:type="lastRow">
      <w:rPr>
        <w:b/>
        <w:bCs/>
      </w:rPr>
      <w:tblPr/>
      <w:tcPr>
        <w:tcBorders>
          <w:top w:val="single" w:sz="18" w:space="0" w:color="04F3EC" w:themeColor="accent5" w:themeTint="BF"/>
        </w:tcBorders>
      </w:tcPr>
    </w:tblStylePr>
    <w:tblStylePr w:type="firstCol">
      <w:rPr>
        <w:b/>
        <w:bCs/>
      </w:rPr>
    </w:tblStylePr>
    <w:tblStylePr w:type="lastCol">
      <w:rPr>
        <w:b/>
        <w:bCs/>
      </w:rPr>
    </w:tblStylePr>
    <w:tblStylePr w:type="band1Vert">
      <w:tblPr/>
      <w:tcPr>
        <w:shd w:val="clear" w:color="auto" w:fill="54FBF7" w:themeFill="accent5" w:themeFillTint="7F"/>
      </w:tcPr>
    </w:tblStylePr>
    <w:tblStylePr w:type="band1Horz">
      <w:tblPr/>
      <w:tcPr>
        <w:shd w:val="clear" w:color="auto" w:fill="54FBF7" w:themeFill="accent5" w:themeFillTint="7F"/>
      </w:tcPr>
    </w:tblStylePr>
  </w:style>
  <w:style w:type="table" w:styleId="MediumGrid1-Accent6">
    <w:name w:val="Medium Grid 1 Accent 6"/>
    <w:basedOn w:val="TableNormal"/>
    <w:uiPriority w:val="67"/>
    <w:locked/>
    <w:rsid w:val="00372E2B"/>
    <w:pPr>
      <w:spacing w:before="170" w:after="0" w:line="240" w:lineRule="auto"/>
    </w:pPr>
    <w:tblPr>
      <w:tblStyleRowBandSize w:val="1"/>
      <w:tblStyleColBandSize w:val="1"/>
      <w:tblBorders>
        <w:top w:val="single" w:sz="8" w:space="0" w:color="E36747" w:themeColor="accent6" w:themeTint="BF"/>
        <w:left w:val="single" w:sz="8" w:space="0" w:color="E36747" w:themeColor="accent6" w:themeTint="BF"/>
        <w:bottom w:val="single" w:sz="8" w:space="0" w:color="E36747" w:themeColor="accent6" w:themeTint="BF"/>
        <w:right w:val="single" w:sz="8" w:space="0" w:color="E36747" w:themeColor="accent6" w:themeTint="BF"/>
        <w:insideH w:val="single" w:sz="8" w:space="0" w:color="E36747" w:themeColor="accent6" w:themeTint="BF"/>
        <w:insideV w:val="single" w:sz="8" w:space="0" w:color="E36747" w:themeColor="accent6" w:themeTint="BF"/>
      </w:tblBorders>
    </w:tblPr>
    <w:tcPr>
      <w:shd w:val="clear" w:color="auto" w:fill="F6CCC2" w:themeFill="accent6" w:themeFillTint="3F"/>
    </w:tcPr>
    <w:tblStylePr w:type="firstRow">
      <w:rPr>
        <w:b/>
        <w:bCs/>
      </w:rPr>
    </w:tblStylePr>
    <w:tblStylePr w:type="lastRow">
      <w:rPr>
        <w:b/>
        <w:bCs/>
      </w:rPr>
      <w:tblPr/>
      <w:tcPr>
        <w:tcBorders>
          <w:top w:val="single" w:sz="18" w:space="0" w:color="E36747" w:themeColor="accent6" w:themeTint="BF"/>
        </w:tcBorders>
      </w:tcPr>
    </w:tblStylePr>
    <w:tblStylePr w:type="firstCol">
      <w:rPr>
        <w:b/>
        <w:bCs/>
      </w:rPr>
    </w:tblStylePr>
    <w:tblStylePr w:type="lastCol">
      <w:rPr>
        <w:b/>
        <w:bCs/>
      </w:rPr>
    </w:tblStylePr>
    <w:tblStylePr w:type="band1Vert">
      <w:tblPr/>
      <w:tcPr>
        <w:shd w:val="clear" w:color="auto" w:fill="EC9A85" w:themeFill="accent6" w:themeFillTint="7F"/>
      </w:tcPr>
    </w:tblStylePr>
    <w:tblStylePr w:type="band1Horz">
      <w:tblPr/>
      <w:tcPr>
        <w:shd w:val="clear" w:color="auto" w:fill="EC9A85" w:themeFill="accent6" w:themeFillTint="7F"/>
      </w:tcPr>
    </w:tblStylePr>
  </w:style>
  <w:style w:type="table" w:styleId="MediumGrid2">
    <w:name w:val="Medium Grid 2"/>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7222" w:themeColor="accent1"/>
        <w:left w:val="single" w:sz="8" w:space="0" w:color="E37222" w:themeColor="accent1"/>
        <w:bottom w:val="single" w:sz="8" w:space="0" w:color="E37222" w:themeColor="accent1"/>
        <w:right w:val="single" w:sz="8" w:space="0" w:color="E37222" w:themeColor="accent1"/>
        <w:insideH w:val="single" w:sz="8" w:space="0" w:color="E37222" w:themeColor="accent1"/>
        <w:insideV w:val="single" w:sz="8" w:space="0" w:color="E37222" w:themeColor="accent1"/>
      </w:tblBorders>
    </w:tblPr>
    <w:tcPr>
      <w:shd w:val="clear" w:color="auto" w:fill="F8DBC8" w:themeFill="accent1" w:themeFillTint="3F"/>
    </w:tcPr>
    <w:tblStylePr w:type="firstRow">
      <w:rPr>
        <w:b/>
        <w:bCs/>
        <w:color w:val="000000" w:themeColor="text1"/>
      </w:rPr>
      <w:tblPr/>
      <w:tcPr>
        <w:shd w:val="clear" w:color="auto" w:fill="FCF0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2D2" w:themeFill="accent1" w:themeFillTint="33"/>
      </w:tcPr>
    </w:tblStylePr>
    <w:tblStylePr w:type="band1Vert">
      <w:tblPr/>
      <w:tcPr>
        <w:shd w:val="clear" w:color="auto" w:fill="F1B890" w:themeFill="accent1" w:themeFillTint="7F"/>
      </w:tcPr>
    </w:tblStylePr>
    <w:tblStylePr w:type="band1Horz">
      <w:tblPr/>
      <w:tcPr>
        <w:tcBorders>
          <w:insideH w:val="single" w:sz="6" w:space="0" w:color="E37222" w:themeColor="accent1"/>
          <w:insideV w:val="single" w:sz="6" w:space="0" w:color="E37222" w:themeColor="accent1"/>
        </w:tcBorders>
        <w:shd w:val="clear" w:color="auto" w:fill="F1B8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5D9E" w:themeColor="accent2"/>
        <w:left w:val="single" w:sz="8" w:space="0" w:color="1F5D9E" w:themeColor="accent2"/>
        <w:bottom w:val="single" w:sz="8" w:space="0" w:color="1F5D9E" w:themeColor="accent2"/>
        <w:right w:val="single" w:sz="8" w:space="0" w:color="1F5D9E" w:themeColor="accent2"/>
        <w:insideH w:val="single" w:sz="8" w:space="0" w:color="1F5D9E" w:themeColor="accent2"/>
        <w:insideV w:val="single" w:sz="8" w:space="0" w:color="1F5D9E" w:themeColor="accent2"/>
      </w:tblBorders>
    </w:tblPr>
    <w:tcPr>
      <w:shd w:val="clear" w:color="auto" w:fill="BCD6F2" w:themeFill="accent2" w:themeFillTint="3F"/>
    </w:tcPr>
    <w:tblStylePr w:type="firstRow">
      <w:rPr>
        <w:b/>
        <w:bCs/>
        <w:color w:val="000000" w:themeColor="text1"/>
      </w:rPr>
      <w:tblPr/>
      <w:tcPr>
        <w:shd w:val="clear" w:color="auto" w:fill="E4EE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EF4" w:themeFill="accent2" w:themeFillTint="33"/>
      </w:tcPr>
    </w:tblStylePr>
    <w:tblStylePr w:type="band1Vert">
      <w:tblPr/>
      <w:tcPr>
        <w:shd w:val="clear" w:color="auto" w:fill="79ADE4" w:themeFill="accent2" w:themeFillTint="7F"/>
      </w:tcPr>
    </w:tblStylePr>
    <w:tblStylePr w:type="band1Horz">
      <w:tblPr/>
      <w:tcPr>
        <w:tcBorders>
          <w:insideH w:val="single" w:sz="6" w:space="0" w:color="1F5D9E" w:themeColor="accent2"/>
          <w:insideV w:val="single" w:sz="6" w:space="0" w:color="1F5D9E" w:themeColor="accent2"/>
        </w:tcBorders>
        <w:shd w:val="clear" w:color="auto" w:fill="79ADE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C7BA" w:themeColor="accent3"/>
        <w:left w:val="single" w:sz="8" w:space="0" w:color="7BC7BA" w:themeColor="accent3"/>
        <w:bottom w:val="single" w:sz="8" w:space="0" w:color="7BC7BA" w:themeColor="accent3"/>
        <w:right w:val="single" w:sz="8" w:space="0" w:color="7BC7BA" w:themeColor="accent3"/>
        <w:insideH w:val="single" w:sz="8" w:space="0" w:color="7BC7BA" w:themeColor="accent3"/>
        <w:insideV w:val="single" w:sz="8" w:space="0" w:color="7BC7BA" w:themeColor="accent3"/>
      </w:tblBorders>
    </w:tblPr>
    <w:tcPr>
      <w:shd w:val="clear" w:color="auto" w:fill="DEF1ED" w:themeFill="accent3" w:themeFillTint="3F"/>
    </w:tcPr>
    <w:tblStylePr w:type="firstRow">
      <w:rPr>
        <w:b/>
        <w:bCs/>
        <w:color w:val="000000" w:themeColor="text1"/>
      </w:rPr>
      <w:tblPr/>
      <w:tcPr>
        <w:shd w:val="clear" w:color="auto" w:fill="F1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3F1" w:themeFill="accent3" w:themeFillTint="33"/>
      </w:tcPr>
    </w:tblStylePr>
    <w:tblStylePr w:type="band1Vert">
      <w:tblPr/>
      <w:tcPr>
        <w:shd w:val="clear" w:color="auto" w:fill="BDE3DC" w:themeFill="accent3" w:themeFillTint="7F"/>
      </w:tcPr>
    </w:tblStylePr>
    <w:tblStylePr w:type="band1Horz">
      <w:tblPr/>
      <w:tcPr>
        <w:tcBorders>
          <w:insideH w:val="single" w:sz="6" w:space="0" w:color="7BC7BA" w:themeColor="accent3"/>
          <w:insideV w:val="single" w:sz="6" w:space="0" w:color="7BC7BA" w:themeColor="accent3"/>
        </w:tcBorders>
        <w:shd w:val="clear" w:color="auto" w:fill="BDE3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1" w:themeColor="accent4"/>
        <w:left w:val="single" w:sz="8" w:space="0" w:color="FFD401" w:themeColor="accent4"/>
        <w:bottom w:val="single" w:sz="8" w:space="0" w:color="FFD401" w:themeColor="accent4"/>
        <w:right w:val="single" w:sz="8" w:space="0" w:color="FFD401" w:themeColor="accent4"/>
        <w:insideH w:val="single" w:sz="8" w:space="0" w:color="FFD401" w:themeColor="accent4"/>
        <w:insideV w:val="single" w:sz="8" w:space="0" w:color="FFD401" w:themeColor="accent4"/>
      </w:tblBorders>
    </w:tblPr>
    <w:tcPr>
      <w:shd w:val="clear" w:color="auto" w:fill="FFF4C0" w:themeFill="accent4" w:themeFillTint="3F"/>
    </w:tcPr>
    <w:tblStylePr w:type="firstRow">
      <w:rPr>
        <w:b/>
        <w:bCs/>
        <w:color w:val="000000" w:themeColor="text1"/>
      </w:rPr>
      <w:tblPr/>
      <w:tcPr>
        <w:shd w:val="clear" w:color="auto" w:fill="FF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CC" w:themeFill="accent4" w:themeFillTint="33"/>
      </w:tcPr>
    </w:tblStylePr>
    <w:tblStylePr w:type="band1Vert">
      <w:tblPr/>
      <w:tcPr>
        <w:shd w:val="clear" w:color="auto" w:fill="FFE980" w:themeFill="accent4" w:themeFillTint="7F"/>
      </w:tcPr>
    </w:tblStylePr>
    <w:tblStylePr w:type="band1Horz">
      <w:tblPr/>
      <w:tcPr>
        <w:tcBorders>
          <w:insideH w:val="single" w:sz="6" w:space="0" w:color="FFD401" w:themeColor="accent4"/>
          <w:insideV w:val="single" w:sz="6" w:space="0" w:color="FFD401" w:themeColor="accent4"/>
        </w:tcBorders>
        <w:shd w:val="clear" w:color="auto" w:fill="FFE9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9E9A" w:themeColor="accent5"/>
        <w:left w:val="single" w:sz="8" w:space="0" w:color="039E9A" w:themeColor="accent5"/>
        <w:bottom w:val="single" w:sz="8" w:space="0" w:color="039E9A" w:themeColor="accent5"/>
        <w:right w:val="single" w:sz="8" w:space="0" w:color="039E9A" w:themeColor="accent5"/>
        <w:insideH w:val="single" w:sz="8" w:space="0" w:color="039E9A" w:themeColor="accent5"/>
        <w:insideV w:val="single" w:sz="8" w:space="0" w:color="039E9A" w:themeColor="accent5"/>
      </w:tblBorders>
    </w:tblPr>
    <w:tcPr>
      <w:shd w:val="clear" w:color="auto" w:fill="AAFDFB" w:themeFill="accent5" w:themeFillTint="3F"/>
    </w:tcPr>
    <w:tblStylePr w:type="firstRow">
      <w:rPr>
        <w:b/>
        <w:bCs/>
        <w:color w:val="000000" w:themeColor="text1"/>
      </w:rPr>
      <w:tblPr/>
      <w:tcPr>
        <w:shd w:val="clear" w:color="auto" w:fill="DDFE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DFB" w:themeFill="accent5" w:themeFillTint="33"/>
      </w:tcPr>
    </w:tblStylePr>
    <w:tblStylePr w:type="band1Vert">
      <w:tblPr/>
      <w:tcPr>
        <w:shd w:val="clear" w:color="auto" w:fill="54FBF7" w:themeFill="accent5" w:themeFillTint="7F"/>
      </w:tcPr>
    </w:tblStylePr>
    <w:tblStylePr w:type="band1Horz">
      <w:tblPr/>
      <w:tcPr>
        <w:tcBorders>
          <w:insideH w:val="single" w:sz="6" w:space="0" w:color="039E9A" w:themeColor="accent5"/>
          <w:insideV w:val="single" w:sz="6" w:space="0" w:color="039E9A" w:themeColor="accent5"/>
        </w:tcBorders>
        <w:shd w:val="clear" w:color="auto" w:fill="54FBF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411E" w:themeColor="accent6"/>
        <w:left w:val="single" w:sz="8" w:space="0" w:color="C7411E" w:themeColor="accent6"/>
        <w:bottom w:val="single" w:sz="8" w:space="0" w:color="C7411E" w:themeColor="accent6"/>
        <w:right w:val="single" w:sz="8" w:space="0" w:color="C7411E" w:themeColor="accent6"/>
        <w:insideH w:val="single" w:sz="8" w:space="0" w:color="C7411E" w:themeColor="accent6"/>
        <w:insideV w:val="single" w:sz="8" w:space="0" w:color="C7411E" w:themeColor="accent6"/>
      </w:tblBorders>
    </w:tblPr>
    <w:tcPr>
      <w:shd w:val="clear" w:color="auto" w:fill="F6CCC2" w:themeFill="accent6" w:themeFillTint="3F"/>
    </w:tcPr>
    <w:tblStylePr w:type="firstRow">
      <w:rPr>
        <w:b/>
        <w:bCs/>
        <w:color w:val="000000" w:themeColor="text1"/>
      </w:rPr>
      <w:tblPr/>
      <w:tcPr>
        <w:shd w:val="clear" w:color="auto" w:fill="FBEB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6CE" w:themeFill="accent6" w:themeFillTint="33"/>
      </w:tcPr>
    </w:tblStylePr>
    <w:tblStylePr w:type="band1Vert">
      <w:tblPr/>
      <w:tcPr>
        <w:shd w:val="clear" w:color="auto" w:fill="EC9A85" w:themeFill="accent6" w:themeFillTint="7F"/>
      </w:tcPr>
    </w:tblStylePr>
    <w:tblStylePr w:type="band1Horz">
      <w:tblPr/>
      <w:tcPr>
        <w:tcBorders>
          <w:insideH w:val="single" w:sz="6" w:space="0" w:color="C7411E" w:themeColor="accent6"/>
          <w:insideV w:val="single" w:sz="6" w:space="0" w:color="C7411E" w:themeColor="accent6"/>
        </w:tcBorders>
        <w:shd w:val="clear" w:color="auto" w:fill="EC9A8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B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72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72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72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72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8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890" w:themeFill="accent1" w:themeFillTint="7F"/>
      </w:tcPr>
    </w:tblStylePr>
  </w:style>
  <w:style w:type="table" w:styleId="MediumGrid3-Accent2">
    <w:name w:val="Medium Grid 3 Accent 2"/>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D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5D9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5D9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5D9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5D9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ADE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ADE4" w:themeFill="accent2" w:themeFillTint="7F"/>
      </w:tcPr>
    </w:tblStylePr>
  </w:style>
  <w:style w:type="table" w:styleId="MediumGrid3-Accent3">
    <w:name w:val="Medium Grid 3 Accent 3"/>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7B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7B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7B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7B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3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3DC" w:themeFill="accent3" w:themeFillTint="7F"/>
      </w:tcPr>
    </w:tblStylePr>
  </w:style>
  <w:style w:type="table" w:styleId="MediumGrid3-Accent4">
    <w:name w:val="Medium Grid 3 Accent 4"/>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80" w:themeFill="accent4" w:themeFillTint="7F"/>
      </w:tcPr>
    </w:tblStylePr>
  </w:style>
  <w:style w:type="table" w:styleId="MediumGrid3-Accent5">
    <w:name w:val="Medium Grid 3 Accent 5"/>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D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9E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9E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9E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9E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BF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BF7" w:themeFill="accent5" w:themeFillTint="7F"/>
      </w:tcPr>
    </w:tblStylePr>
  </w:style>
  <w:style w:type="table" w:styleId="MediumGrid3-Accent6">
    <w:name w:val="Medium Grid 3 Accent 6"/>
    <w:basedOn w:val="TableNormal"/>
    <w:uiPriority w:val="69"/>
    <w:locked/>
    <w:rsid w:val="00372E2B"/>
    <w:pPr>
      <w:spacing w:before="17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C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41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41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41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41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9A8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9A85" w:themeFill="accent6" w:themeFillTint="7F"/>
      </w:tcPr>
    </w:tblStylePr>
  </w:style>
  <w:style w:type="table" w:styleId="MediumList1">
    <w:name w:val="Medium List 1"/>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E37222" w:themeColor="accent1"/>
        <w:bottom w:val="single" w:sz="8" w:space="0" w:color="E37222" w:themeColor="accent1"/>
      </w:tblBorders>
    </w:tblPr>
    <w:tblStylePr w:type="firstRow">
      <w:rPr>
        <w:rFonts w:asciiTheme="majorHAnsi" w:eastAsiaTheme="majorEastAsia" w:hAnsiTheme="majorHAnsi" w:cstheme="majorBidi"/>
      </w:rPr>
      <w:tblPr/>
      <w:tcPr>
        <w:tcBorders>
          <w:top w:val="nil"/>
          <w:bottom w:val="single" w:sz="8" w:space="0" w:color="E37222" w:themeColor="accent1"/>
        </w:tcBorders>
      </w:tcPr>
    </w:tblStylePr>
    <w:tblStylePr w:type="lastRow">
      <w:rPr>
        <w:b/>
        <w:bCs/>
        <w:color w:val="000000" w:themeColor="text2"/>
      </w:rPr>
      <w:tblPr/>
      <w:tcPr>
        <w:tcBorders>
          <w:top w:val="single" w:sz="8" w:space="0" w:color="E37222" w:themeColor="accent1"/>
          <w:bottom w:val="single" w:sz="8" w:space="0" w:color="E37222" w:themeColor="accent1"/>
        </w:tcBorders>
      </w:tcPr>
    </w:tblStylePr>
    <w:tblStylePr w:type="firstCol">
      <w:rPr>
        <w:b/>
        <w:bCs/>
      </w:rPr>
    </w:tblStylePr>
    <w:tblStylePr w:type="lastCol">
      <w:rPr>
        <w:b/>
        <w:bCs/>
      </w:rPr>
      <w:tblPr/>
      <w:tcPr>
        <w:tcBorders>
          <w:top w:val="single" w:sz="8" w:space="0" w:color="E37222" w:themeColor="accent1"/>
          <w:bottom w:val="single" w:sz="8" w:space="0" w:color="E37222" w:themeColor="accent1"/>
        </w:tcBorders>
      </w:tcPr>
    </w:tblStylePr>
    <w:tblStylePr w:type="band1Vert">
      <w:tblPr/>
      <w:tcPr>
        <w:shd w:val="clear" w:color="auto" w:fill="F8DBC8" w:themeFill="accent1" w:themeFillTint="3F"/>
      </w:tcPr>
    </w:tblStylePr>
    <w:tblStylePr w:type="band1Horz">
      <w:tblPr/>
      <w:tcPr>
        <w:shd w:val="clear" w:color="auto" w:fill="F8DBC8" w:themeFill="accent1" w:themeFillTint="3F"/>
      </w:tcPr>
    </w:tblStylePr>
  </w:style>
  <w:style w:type="table" w:styleId="MediumList1-Accent2">
    <w:name w:val="Medium List 1 Accent 2"/>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1F5D9E" w:themeColor="accent2"/>
        <w:bottom w:val="single" w:sz="8" w:space="0" w:color="1F5D9E" w:themeColor="accent2"/>
      </w:tblBorders>
    </w:tblPr>
    <w:tblStylePr w:type="firstRow">
      <w:rPr>
        <w:rFonts w:asciiTheme="majorHAnsi" w:eastAsiaTheme="majorEastAsia" w:hAnsiTheme="majorHAnsi" w:cstheme="majorBidi"/>
      </w:rPr>
      <w:tblPr/>
      <w:tcPr>
        <w:tcBorders>
          <w:top w:val="nil"/>
          <w:bottom w:val="single" w:sz="8" w:space="0" w:color="1F5D9E" w:themeColor="accent2"/>
        </w:tcBorders>
      </w:tcPr>
    </w:tblStylePr>
    <w:tblStylePr w:type="lastRow">
      <w:rPr>
        <w:b/>
        <w:bCs/>
        <w:color w:val="000000" w:themeColor="text2"/>
      </w:rPr>
      <w:tblPr/>
      <w:tcPr>
        <w:tcBorders>
          <w:top w:val="single" w:sz="8" w:space="0" w:color="1F5D9E" w:themeColor="accent2"/>
          <w:bottom w:val="single" w:sz="8" w:space="0" w:color="1F5D9E" w:themeColor="accent2"/>
        </w:tcBorders>
      </w:tcPr>
    </w:tblStylePr>
    <w:tblStylePr w:type="firstCol">
      <w:rPr>
        <w:b/>
        <w:bCs/>
      </w:rPr>
    </w:tblStylePr>
    <w:tblStylePr w:type="lastCol">
      <w:rPr>
        <w:b/>
        <w:bCs/>
      </w:rPr>
      <w:tblPr/>
      <w:tcPr>
        <w:tcBorders>
          <w:top w:val="single" w:sz="8" w:space="0" w:color="1F5D9E" w:themeColor="accent2"/>
          <w:bottom w:val="single" w:sz="8" w:space="0" w:color="1F5D9E" w:themeColor="accent2"/>
        </w:tcBorders>
      </w:tcPr>
    </w:tblStylePr>
    <w:tblStylePr w:type="band1Vert">
      <w:tblPr/>
      <w:tcPr>
        <w:shd w:val="clear" w:color="auto" w:fill="BCD6F2" w:themeFill="accent2" w:themeFillTint="3F"/>
      </w:tcPr>
    </w:tblStylePr>
    <w:tblStylePr w:type="band1Horz">
      <w:tblPr/>
      <w:tcPr>
        <w:shd w:val="clear" w:color="auto" w:fill="BCD6F2" w:themeFill="accent2" w:themeFillTint="3F"/>
      </w:tcPr>
    </w:tblStylePr>
  </w:style>
  <w:style w:type="table" w:styleId="MediumList1-Accent3">
    <w:name w:val="Medium List 1 Accent 3"/>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7BC7BA" w:themeColor="accent3"/>
        <w:bottom w:val="single" w:sz="8" w:space="0" w:color="7BC7BA" w:themeColor="accent3"/>
      </w:tblBorders>
    </w:tblPr>
    <w:tblStylePr w:type="firstRow">
      <w:rPr>
        <w:rFonts w:asciiTheme="majorHAnsi" w:eastAsiaTheme="majorEastAsia" w:hAnsiTheme="majorHAnsi" w:cstheme="majorBidi"/>
      </w:rPr>
      <w:tblPr/>
      <w:tcPr>
        <w:tcBorders>
          <w:top w:val="nil"/>
          <w:bottom w:val="single" w:sz="8" w:space="0" w:color="7BC7BA" w:themeColor="accent3"/>
        </w:tcBorders>
      </w:tcPr>
    </w:tblStylePr>
    <w:tblStylePr w:type="lastRow">
      <w:rPr>
        <w:b/>
        <w:bCs/>
        <w:color w:val="000000" w:themeColor="text2"/>
      </w:rPr>
      <w:tblPr/>
      <w:tcPr>
        <w:tcBorders>
          <w:top w:val="single" w:sz="8" w:space="0" w:color="7BC7BA" w:themeColor="accent3"/>
          <w:bottom w:val="single" w:sz="8" w:space="0" w:color="7BC7BA" w:themeColor="accent3"/>
        </w:tcBorders>
      </w:tcPr>
    </w:tblStylePr>
    <w:tblStylePr w:type="firstCol">
      <w:rPr>
        <w:b/>
        <w:bCs/>
      </w:rPr>
    </w:tblStylePr>
    <w:tblStylePr w:type="lastCol">
      <w:rPr>
        <w:b/>
        <w:bCs/>
      </w:rPr>
      <w:tblPr/>
      <w:tcPr>
        <w:tcBorders>
          <w:top w:val="single" w:sz="8" w:space="0" w:color="7BC7BA" w:themeColor="accent3"/>
          <w:bottom w:val="single" w:sz="8" w:space="0" w:color="7BC7BA" w:themeColor="accent3"/>
        </w:tcBorders>
      </w:tcPr>
    </w:tblStylePr>
    <w:tblStylePr w:type="band1Vert">
      <w:tblPr/>
      <w:tcPr>
        <w:shd w:val="clear" w:color="auto" w:fill="DEF1ED" w:themeFill="accent3" w:themeFillTint="3F"/>
      </w:tcPr>
    </w:tblStylePr>
    <w:tblStylePr w:type="band1Horz">
      <w:tblPr/>
      <w:tcPr>
        <w:shd w:val="clear" w:color="auto" w:fill="DEF1ED" w:themeFill="accent3" w:themeFillTint="3F"/>
      </w:tcPr>
    </w:tblStylePr>
  </w:style>
  <w:style w:type="table" w:styleId="MediumList1-Accent4">
    <w:name w:val="Medium List 1 Accent 4"/>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FFD401" w:themeColor="accent4"/>
        <w:bottom w:val="single" w:sz="8" w:space="0" w:color="FFD401" w:themeColor="accent4"/>
      </w:tblBorders>
    </w:tblPr>
    <w:tblStylePr w:type="firstRow">
      <w:rPr>
        <w:rFonts w:asciiTheme="majorHAnsi" w:eastAsiaTheme="majorEastAsia" w:hAnsiTheme="majorHAnsi" w:cstheme="majorBidi"/>
      </w:rPr>
      <w:tblPr/>
      <w:tcPr>
        <w:tcBorders>
          <w:top w:val="nil"/>
          <w:bottom w:val="single" w:sz="8" w:space="0" w:color="FFD401" w:themeColor="accent4"/>
        </w:tcBorders>
      </w:tcPr>
    </w:tblStylePr>
    <w:tblStylePr w:type="lastRow">
      <w:rPr>
        <w:b/>
        <w:bCs/>
        <w:color w:val="000000" w:themeColor="text2"/>
      </w:rPr>
      <w:tblPr/>
      <w:tcPr>
        <w:tcBorders>
          <w:top w:val="single" w:sz="8" w:space="0" w:color="FFD401" w:themeColor="accent4"/>
          <w:bottom w:val="single" w:sz="8" w:space="0" w:color="FFD401" w:themeColor="accent4"/>
        </w:tcBorders>
      </w:tcPr>
    </w:tblStylePr>
    <w:tblStylePr w:type="firstCol">
      <w:rPr>
        <w:b/>
        <w:bCs/>
      </w:rPr>
    </w:tblStylePr>
    <w:tblStylePr w:type="lastCol">
      <w:rPr>
        <w:b/>
        <w:bCs/>
      </w:rPr>
      <w:tblPr/>
      <w:tcPr>
        <w:tcBorders>
          <w:top w:val="single" w:sz="8" w:space="0" w:color="FFD401" w:themeColor="accent4"/>
          <w:bottom w:val="single" w:sz="8" w:space="0" w:color="FFD401" w:themeColor="accent4"/>
        </w:tcBorders>
      </w:tcPr>
    </w:tblStylePr>
    <w:tblStylePr w:type="band1Vert">
      <w:tblPr/>
      <w:tcPr>
        <w:shd w:val="clear" w:color="auto" w:fill="FFF4C0" w:themeFill="accent4" w:themeFillTint="3F"/>
      </w:tcPr>
    </w:tblStylePr>
    <w:tblStylePr w:type="band1Horz">
      <w:tblPr/>
      <w:tcPr>
        <w:shd w:val="clear" w:color="auto" w:fill="FFF4C0" w:themeFill="accent4" w:themeFillTint="3F"/>
      </w:tcPr>
    </w:tblStylePr>
  </w:style>
  <w:style w:type="table" w:styleId="MediumList1-Accent5">
    <w:name w:val="Medium List 1 Accent 5"/>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039E9A" w:themeColor="accent5"/>
        <w:bottom w:val="single" w:sz="8" w:space="0" w:color="039E9A" w:themeColor="accent5"/>
      </w:tblBorders>
    </w:tblPr>
    <w:tblStylePr w:type="firstRow">
      <w:rPr>
        <w:rFonts w:asciiTheme="majorHAnsi" w:eastAsiaTheme="majorEastAsia" w:hAnsiTheme="majorHAnsi" w:cstheme="majorBidi"/>
      </w:rPr>
      <w:tblPr/>
      <w:tcPr>
        <w:tcBorders>
          <w:top w:val="nil"/>
          <w:bottom w:val="single" w:sz="8" w:space="0" w:color="039E9A" w:themeColor="accent5"/>
        </w:tcBorders>
      </w:tcPr>
    </w:tblStylePr>
    <w:tblStylePr w:type="lastRow">
      <w:rPr>
        <w:b/>
        <w:bCs/>
        <w:color w:val="000000" w:themeColor="text2"/>
      </w:rPr>
      <w:tblPr/>
      <w:tcPr>
        <w:tcBorders>
          <w:top w:val="single" w:sz="8" w:space="0" w:color="039E9A" w:themeColor="accent5"/>
          <w:bottom w:val="single" w:sz="8" w:space="0" w:color="039E9A" w:themeColor="accent5"/>
        </w:tcBorders>
      </w:tcPr>
    </w:tblStylePr>
    <w:tblStylePr w:type="firstCol">
      <w:rPr>
        <w:b/>
        <w:bCs/>
      </w:rPr>
    </w:tblStylePr>
    <w:tblStylePr w:type="lastCol">
      <w:rPr>
        <w:b/>
        <w:bCs/>
      </w:rPr>
      <w:tblPr/>
      <w:tcPr>
        <w:tcBorders>
          <w:top w:val="single" w:sz="8" w:space="0" w:color="039E9A" w:themeColor="accent5"/>
          <w:bottom w:val="single" w:sz="8" w:space="0" w:color="039E9A" w:themeColor="accent5"/>
        </w:tcBorders>
      </w:tcPr>
    </w:tblStylePr>
    <w:tblStylePr w:type="band1Vert">
      <w:tblPr/>
      <w:tcPr>
        <w:shd w:val="clear" w:color="auto" w:fill="AAFDFB" w:themeFill="accent5" w:themeFillTint="3F"/>
      </w:tcPr>
    </w:tblStylePr>
    <w:tblStylePr w:type="band1Horz">
      <w:tblPr/>
      <w:tcPr>
        <w:shd w:val="clear" w:color="auto" w:fill="AAFDFB" w:themeFill="accent5" w:themeFillTint="3F"/>
      </w:tcPr>
    </w:tblStylePr>
  </w:style>
  <w:style w:type="table" w:styleId="MediumList1-Accent6">
    <w:name w:val="Medium List 1 Accent 6"/>
    <w:basedOn w:val="TableNormal"/>
    <w:uiPriority w:val="65"/>
    <w:locked/>
    <w:rsid w:val="00372E2B"/>
    <w:pPr>
      <w:spacing w:before="170" w:after="0" w:line="240" w:lineRule="auto"/>
    </w:pPr>
    <w:rPr>
      <w:color w:val="000000" w:themeColor="text1"/>
    </w:rPr>
    <w:tblPr>
      <w:tblStyleRowBandSize w:val="1"/>
      <w:tblStyleColBandSize w:val="1"/>
      <w:tblBorders>
        <w:top w:val="single" w:sz="8" w:space="0" w:color="C7411E" w:themeColor="accent6"/>
        <w:bottom w:val="single" w:sz="8" w:space="0" w:color="C7411E" w:themeColor="accent6"/>
      </w:tblBorders>
    </w:tblPr>
    <w:tblStylePr w:type="firstRow">
      <w:rPr>
        <w:rFonts w:asciiTheme="majorHAnsi" w:eastAsiaTheme="majorEastAsia" w:hAnsiTheme="majorHAnsi" w:cstheme="majorBidi"/>
      </w:rPr>
      <w:tblPr/>
      <w:tcPr>
        <w:tcBorders>
          <w:top w:val="nil"/>
          <w:bottom w:val="single" w:sz="8" w:space="0" w:color="C7411E" w:themeColor="accent6"/>
        </w:tcBorders>
      </w:tcPr>
    </w:tblStylePr>
    <w:tblStylePr w:type="lastRow">
      <w:rPr>
        <w:b/>
        <w:bCs/>
        <w:color w:val="000000" w:themeColor="text2"/>
      </w:rPr>
      <w:tblPr/>
      <w:tcPr>
        <w:tcBorders>
          <w:top w:val="single" w:sz="8" w:space="0" w:color="C7411E" w:themeColor="accent6"/>
          <w:bottom w:val="single" w:sz="8" w:space="0" w:color="C7411E" w:themeColor="accent6"/>
        </w:tcBorders>
      </w:tcPr>
    </w:tblStylePr>
    <w:tblStylePr w:type="firstCol">
      <w:rPr>
        <w:b/>
        <w:bCs/>
      </w:rPr>
    </w:tblStylePr>
    <w:tblStylePr w:type="lastCol">
      <w:rPr>
        <w:b/>
        <w:bCs/>
      </w:rPr>
      <w:tblPr/>
      <w:tcPr>
        <w:tcBorders>
          <w:top w:val="single" w:sz="8" w:space="0" w:color="C7411E" w:themeColor="accent6"/>
          <w:bottom w:val="single" w:sz="8" w:space="0" w:color="C7411E" w:themeColor="accent6"/>
        </w:tcBorders>
      </w:tcPr>
    </w:tblStylePr>
    <w:tblStylePr w:type="band1Vert">
      <w:tblPr/>
      <w:tcPr>
        <w:shd w:val="clear" w:color="auto" w:fill="F6CCC2" w:themeFill="accent6" w:themeFillTint="3F"/>
      </w:tcPr>
    </w:tblStylePr>
    <w:tblStylePr w:type="band1Horz">
      <w:tblPr/>
      <w:tcPr>
        <w:shd w:val="clear" w:color="auto" w:fill="F6CCC2" w:themeFill="accent6" w:themeFillTint="3F"/>
      </w:tcPr>
    </w:tblStylePr>
  </w:style>
  <w:style w:type="table" w:styleId="MediumList2">
    <w:name w:val="Medium List 2"/>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7222" w:themeColor="accent1"/>
        <w:left w:val="single" w:sz="8" w:space="0" w:color="E37222" w:themeColor="accent1"/>
        <w:bottom w:val="single" w:sz="8" w:space="0" w:color="E37222" w:themeColor="accent1"/>
        <w:right w:val="single" w:sz="8" w:space="0" w:color="E37222" w:themeColor="accent1"/>
      </w:tblBorders>
    </w:tblPr>
    <w:tblStylePr w:type="firstRow">
      <w:rPr>
        <w:sz w:val="24"/>
        <w:szCs w:val="24"/>
      </w:rPr>
      <w:tblPr/>
      <w:tcPr>
        <w:tcBorders>
          <w:top w:val="nil"/>
          <w:left w:val="nil"/>
          <w:bottom w:val="single" w:sz="24" w:space="0" w:color="E37222" w:themeColor="accent1"/>
          <w:right w:val="nil"/>
          <w:insideH w:val="nil"/>
          <w:insideV w:val="nil"/>
        </w:tcBorders>
        <w:shd w:val="clear" w:color="auto" w:fill="FFFFFF" w:themeFill="background1"/>
      </w:tcPr>
    </w:tblStylePr>
    <w:tblStylePr w:type="lastRow">
      <w:tblPr/>
      <w:tcPr>
        <w:tcBorders>
          <w:top w:val="single" w:sz="8" w:space="0" w:color="E3722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7222" w:themeColor="accent1"/>
          <w:insideH w:val="nil"/>
          <w:insideV w:val="nil"/>
        </w:tcBorders>
        <w:shd w:val="clear" w:color="auto" w:fill="FFFFFF" w:themeFill="background1"/>
      </w:tcPr>
    </w:tblStylePr>
    <w:tblStylePr w:type="lastCol">
      <w:tblPr/>
      <w:tcPr>
        <w:tcBorders>
          <w:top w:val="nil"/>
          <w:left w:val="single" w:sz="8" w:space="0" w:color="E372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BC8" w:themeFill="accent1" w:themeFillTint="3F"/>
      </w:tcPr>
    </w:tblStylePr>
    <w:tblStylePr w:type="band1Horz">
      <w:tblPr/>
      <w:tcPr>
        <w:tcBorders>
          <w:top w:val="nil"/>
          <w:bottom w:val="nil"/>
          <w:insideH w:val="nil"/>
          <w:insideV w:val="nil"/>
        </w:tcBorders>
        <w:shd w:val="clear" w:color="auto" w:fill="F8DB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5D9E" w:themeColor="accent2"/>
        <w:left w:val="single" w:sz="8" w:space="0" w:color="1F5D9E" w:themeColor="accent2"/>
        <w:bottom w:val="single" w:sz="8" w:space="0" w:color="1F5D9E" w:themeColor="accent2"/>
        <w:right w:val="single" w:sz="8" w:space="0" w:color="1F5D9E" w:themeColor="accent2"/>
      </w:tblBorders>
    </w:tblPr>
    <w:tblStylePr w:type="firstRow">
      <w:rPr>
        <w:sz w:val="24"/>
        <w:szCs w:val="24"/>
      </w:rPr>
      <w:tblPr/>
      <w:tcPr>
        <w:tcBorders>
          <w:top w:val="nil"/>
          <w:left w:val="nil"/>
          <w:bottom w:val="single" w:sz="24" w:space="0" w:color="1F5D9E" w:themeColor="accent2"/>
          <w:right w:val="nil"/>
          <w:insideH w:val="nil"/>
          <w:insideV w:val="nil"/>
        </w:tcBorders>
        <w:shd w:val="clear" w:color="auto" w:fill="FFFFFF" w:themeFill="background1"/>
      </w:tcPr>
    </w:tblStylePr>
    <w:tblStylePr w:type="lastRow">
      <w:tblPr/>
      <w:tcPr>
        <w:tcBorders>
          <w:top w:val="single" w:sz="8" w:space="0" w:color="1F5D9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5D9E" w:themeColor="accent2"/>
          <w:insideH w:val="nil"/>
          <w:insideV w:val="nil"/>
        </w:tcBorders>
        <w:shd w:val="clear" w:color="auto" w:fill="FFFFFF" w:themeFill="background1"/>
      </w:tcPr>
    </w:tblStylePr>
    <w:tblStylePr w:type="lastCol">
      <w:tblPr/>
      <w:tcPr>
        <w:tcBorders>
          <w:top w:val="nil"/>
          <w:left w:val="single" w:sz="8" w:space="0" w:color="1F5D9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D6F2" w:themeFill="accent2" w:themeFillTint="3F"/>
      </w:tcPr>
    </w:tblStylePr>
    <w:tblStylePr w:type="band1Horz">
      <w:tblPr/>
      <w:tcPr>
        <w:tcBorders>
          <w:top w:val="nil"/>
          <w:bottom w:val="nil"/>
          <w:insideH w:val="nil"/>
          <w:insideV w:val="nil"/>
        </w:tcBorders>
        <w:shd w:val="clear" w:color="auto" w:fill="BCD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C7BA" w:themeColor="accent3"/>
        <w:left w:val="single" w:sz="8" w:space="0" w:color="7BC7BA" w:themeColor="accent3"/>
        <w:bottom w:val="single" w:sz="8" w:space="0" w:color="7BC7BA" w:themeColor="accent3"/>
        <w:right w:val="single" w:sz="8" w:space="0" w:color="7BC7BA" w:themeColor="accent3"/>
      </w:tblBorders>
    </w:tblPr>
    <w:tblStylePr w:type="firstRow">
      <w:rPr>
        <w:sz w:val="24"/>
        <w:szCs w:val="24"/>
      </w:rPr>
      <w:tblPr/>
      <w:tcPr>
        <w:tcBorders>
          <w:top w:val="nil"/>
          <w:left w:val="nil"/>
          <w:bottom w:val="single" w:sz="24" w:space="0" w:color="7BC7BA" w:themeColor="accent3"/>
          <w:right w:val="nil"/>
          <w:insideH w:val="nil"/>
          <w:insideV w:val="nil"/>
        </w:tcBorders>
        <w:shd w:val="clear" w:color="auto" w:fill="FFFFFF" w:themeFill="background1"/>
      </w:tcPr>
    </w:tblStylePr>
    <w:tblStylePr w:type="lastRow">
      <w:tblPr/>
      <w:tcPr>
        <w:tcBorders>
          <w:top w:val="single" w:sz="8" w:space="0" w:color="7BC7B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7BA" w:themeColor="accent3"/>
          <w:insideH w:val="nil"/>
          <w:insideV w:val="nil"/>
        </w:tcBorders>
        <w:shd w:val="clear" w:color="auto" w:fill="FFFFFF" w:themeFill="background1"/>
      </w:tcPr>
    </w:tblStylePr>
    <w:tblStylePr w:type="lastCol">
      <w:tblPr/>
      <w:tcPr>
        <w:tcBorders>
          <w:top w:val="nil"/>
          <w:left w:val="single" w:sz="8" w:space="0" w:color="7BC7B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ED" w:themeFill="accent3" w:themeFillTint="3F"/>
      </w:tcPr>
    </w:tblStylePr>
    <w:tblStylePr w:type="band1Horz">
      <w:tblPr/>
      <w:tcPr>
        <w:tcBorders>
          <w:top w:val="nil"/>
          <w:bottom w:val="nil"/>
          <w:insideH w:val="nil"/>
          <w:insideV w:val="nil"/>
        </w:tcBorders>
        <w:shd w:val="clear" w:color="auto" w:fill="DEF1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1" w:themeColor="accent4"/>
        <w:left w:val="single" w:sz="8" w:space="0" w:color="FFD401" w:themeColor="accent4"/>
        <w:bottom w:val="single" w:sz="8" w:space="0" w:color="FFD401" w:themeColor="accent4"/>
        <w:right w:val="single" w:sz="8" w:space="0" w:color="FFD401" w:themeColor="accent4"/>
      </w:tblBorders>
    </w:tblPr>
    <w:tblStylePr w:type="firstRow">
      <w:rPr>
        <w:sz w:val="24"/>
        <w:szCs w:val="24"/>
      </w:rPr>
      <w:tblPr/>
      <w:tcPr>
        <w:tcBorders>
          <w:top w:val="nil"/>
          <w:left w:val="nil"/>
          <w:bottom w:val="single" w:sz="24" w:space="0" w:color="FFD401" w:themeColor="accent4"/>
          <w:right w:val="nil"/>
          <w:insideH w:val="nil"/>
          <w:insideV w:val="nil"/>
        </w:tcBorders>
        <w:shd w:val="clear" w:color="auto" w:fill="FFFFFF" w:themeFill="background1"/>
      </w:tcPr>
    </w:tblStylePr>
    <w:tblStylePr w:type="lastRow">
      <w:tblPr/>
      <w:tcPr>
        <w:tcBorders>
          <w:top w:val="single" w:sz="8" w:space="0" w:color="FFD4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01" w:themeColor="accent4"/>
          <w:insideH w:val="nil"/>
          <w:insideV w:val="nil"/>
        </w:tcBorders>
        <w:shd w:val="clear" w:color="auto" w:fill="FFFFFF" w:themeFill="background1"/>
      </w:tcPr>
    </w:tblStylePr>
    <w:tblStylePr w:type="lastCol">
      <w:tblPr/>
      <w:tcPr>
        <w:tcBorders>
          <w:top w:val="nil"/>
          <w:left w:val="single" w:sz="8" w:space="0" w:color="FFD4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0" w:themeFill="accent4" w:themeFillTint="3F"/>
      </w:tcPr>
    </w:tblStylePr>
    <w:tblStylePr w:type="band1Horz">
      <w:tblPr/>
      <w:tcPr>
        <w:tcBorders>
          <w:top w:val="nil"/>
          <w:bottom w:val="nil"/>
          <w:insideH w:val="nil"/>
          <w:insideV w:val="nil"/>
        </w:tcBorders>
        <w:shd w:val="clear" w:color="auto" w:fill="FFF4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9E9A" w:themeColor="accent5"/>
        <w:left w:val="single" w:sz="8" w:space="0" w:color="039E9A" w:themeColor="accent5"/>
        <w:bottom w:val="single" w:sz="8" w:space="0" w:color="039E9A" w:themeColor="accent5"/>
        <w:right w:val="single" w:sz="8" w:space="0" w:color="039E9A" w:themeColor="accent5"/>
      </w:tblBorders>
    </w:tblPr>
    <w:tblStylePr w:type="firstRow">
      <w:rPr>
        <w:sz w:val="24"/>
        <w:szCs w:val="24"/>
      </w:rPr>
      <w:tblPr/>
      <w:tcPr>
        <w:tcBorders>
          <w:top w:val="nil"/>
          <w:left w:val="nil"/>
          <w:bottom w:val="single" w:sz="24" w:space="0" w:color="039E9A" w:themeColor="accent5"/>
          <w:right w:val="nil"/>
          <w:insideH w:val="nil"/>
          <w:insideV w:val="nil"/>
        </w:tcBorders>
        <w:shd w:val="clear" w:color="auto" w:fill="FFFFFF" w:themeFill="background1"/>
      </w:tcPr>
    </w:tblStylePr>
    <w:tblStylePr w:type="lastRow">
      <w:tblPr/>
      <w:tcPr>
        <w:tcBorders>
          <w:top w:val="single" w:sz="8" w:space="0" w:color="039E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9E9A" w:themeColor="accent5"/>
          <w:insideH w:val="nil"/>
          <w:insideV w:val="nil"/>
        </w:tcBorders>
        <w:shd w:val="clear" w:color="auto" w:fill="FFFFFF" w:themeFill="background1"/>
      </w:tcPr>
    </w:tblStylePr>
    <w:tblStylePr w:type="lastCol">
      <w:tblPr/>
      <w:tcPr>
        <w:tcBorders>
          <w:top w:val="nil"/>
          <w:left w:val="single" w:sz="8" w:space="0" w:color="039E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DFB" w:themeFill="accent5" w:themeFillTint="3F"/>
      </w:tcPr>
    </w:tblStylePr>
    <w:tblStylePr w:type="band1Horz">
      <w:tblPr/>
      <w:tcPr>
        <w:tcBorders>
          <w:top w:val="nil"/>
          <w:bottom w:val="nil"/>
          <w:insideH w:val="nil"/>
          <w:insideV w:val="nil"/>
        </w:tcBorders>
        <w:shd w:val="clear" w:color="auto" w:fill="AAFD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372E2B"/>
    <w:pPr>
      <w:spacing w:before="17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7411E" w:themeColor="accent6"/>
        <w:left w:val="single" w:sz="8" w:space="0" w:color="C7411E" w:themeColor="accent6"/>
        <w:bottom w:val="single" w:sz="8" w:space="0" w:color="C7411E" w:themeColor="accent6"/>
        <w:right w:val="single" w:sz="8" w:space="0" w:color="C7411E" w:themeColor="accent6"/>
      </w:tblBorders>
    </w:tblPr>
    <w:tblStylePr w:type="firstRow">
      <w:rPr>
        <w:sz w:val="24"/>
        <w:szCs w:val="24"/>
      </w:rPr>
      <w:tblPr/>
      <w:tcPr>
        <w:tcBorders>
          <w:top w:val="nil"/>
          <w:left w:val="nil"/>
          <w:bottom w:val="single" w:sz="24" w:space="0" w:color="C7411E" w:themeColor="accent6"/>
          <w:right w:val="nil"/>
          <w:insideH w:val="nil"/>
          <w:insideV w:val="nil"/>
        </w:tcBorders>
        <w:shd w:val="clear" w:color="auto" w:fill="FFFFFF" w:themeFill="background1"/>
      </w:tcPr>
    </w:tblStylePr>
    <w:tblStylePr w:type="lastRow">
      <w:tblPr/>
      <w:tcPr>
        <w:tcBorders>
          <w:top w:val="single" w:sz="8" w:space="0" w:color="C741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411E" w:themeColor="accent6"/>
          <w:insideH w:val="nil"/>
          <w:insideV w:val="nil"/>
        </w:tcBorders>
        <w:shd w:val="clear" w:color="auto" w:fill="FFFFFF" w:themeFill="background1"/>
      </w:tcPr>
    </w:tblStylePr>
    <w:tblStylePr w:type="lastCol">
      <w:tblPr/>
      <w:tcPr>
        <w:tcBorders>
          <w:top w:val="nil"/>
          <w:left w:val="single" w:sz="8" w:space="0" w:color="C741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CC2" w:themeFill="accent6" w:themeFillTint="3F"/>
      </w:tcPr>
    </w:tblStylePr>
    <w:tblStylePr w:type="band1Horz">
      <w:tblPr/>
      <w:tcPr>
        <w:tcBorders>
          <w:top w:val="nil"/>
          <w:bottom w:val="nil"/>
          <w:insideH w:val="nil"/>
          <w:insideV w:val="nil"/>
        </w:tcBorders>
        <w:shd w:val="clear" w:color="auto" w:fill="F6CC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372E2B"/>
    <w:pPr>
      <w:spacing w:before="17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372E2B"/>
    <w:pPr>
      <w:spacing w:before="170" w:after="0" w:line="240" w:lineRule="auto"/>
    </w:pPr>
    <w:tblPr>
      <w:tblStyleRowBandSize w:val="1"/>
      <w:tblStyleColBandSize w:val="1"/>
      <w:tblBorders>
        <w:top w:val="single" w:sz="8" w:space="0" w:color="EA9459" w:themeColor="accent1" w:themeTint="BF"/>
        <w:left w:val="single" w:sz="8" w:space="0" w:color="EA9459" w:themeColor="accent1" w:themeTint="BF"/>
        <w:bottom w:val="single" w:sz="8" w:space="0" w:color="EA9459" w:themeColor="accent1" w:themeTint="BF"/>
        <w:right w:val="single" w:sz="8" w:space="0" w:color="EA9459" w:themeColor="accent1" w:themeTint="BF"/>
        <w:insideH w:val="single" w:sz="8" w:space="0" w:color="EA9459" w:themeColor="accent1" w:themeTint="BF"/>
      </w:tblBorders>
    </w:tblPr>
    <w:tblStylePr w:type="firstRow">
      <w:pPr>
        <w:spacing w:before="0" w:after="0" w:line="240" w:lineRule="auto"/>
      </w:pPr>
      <w:rPr>
        <w:b/>
        <w:bCs/>
        <w:color w:val="FFFFFF" w:themeColor="background1"/>
      </w:rPr>
      <w:tblPr/>
      <w:tcPr>
        <w:tcBorders>
          <w:top w:val="single" w:sz="8" w:space="0" w:color="EA9459" w:themeColor="accent1" w:themeTint="BF"/>
          <w:left w:val="single" w:sz="8" w:space="0" w:color="EA9459" w:themeColor="accent1" w:themeTint="BF"/>
          <w:bottom w:val="single" w:sz="8" w:space="0" w:color="EA9459" w:themeColor="accent1" w:themeTint="BF"/>
          <w:right w:val="single" w:sz="8" w:space="0" w:color="EA9459" w:themeColor="accent1" w:themeTint="BF"/>
          <w:insideH w:val="nil"/>
          <w:insideV w:val="nil"/>
        </w:tcBorders>
        <w:shd w:val="clear" w:color="auto" w:fill="E37222" w:themeFill="accent1"/>
      </w:tcPr>
    </w:tblStylePr>
    <w:tblStylePr w:type="lastRow">
      <w:pPr>
        <w:spacing w:before="0" w:after="0" w:line="240" w:lineRule="auto"/>
      </w:pPr>
      <w:rPr>
        <w:b/>
        <w:bCs/>
      </w:rPr>
      <w:tblPr/>
      <w:tcPr>
        <w:tcBorders>
          <w:top w:val="double" w:sz="6" w:space="0" w:color="EA9459" w:themeColor="accent1" w:themeTint="BF"/>
          <w:left w:val="single" w:sz="8" w:space="0" w:color="EA9459" w:themeColor="accent1" w:themeTint="BF"/>
          <w:bottom w:val="single" w:sz="8" w:space="0" w:color="EA9459" w:themeColor="accent1" w:themeTint="BF"/>
          <w:right w:val="single" w:sz="8" w:space="0" w:color="EA94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DBC8" w:themeFill="accent1" w:themeFillTint="3F"/>
      </w:tcPr>
    </w:tblStylePr>
    <w:tblStylePr w:type="band1Horz">
      <w:tblPr/>
      <w:tcPr>
        <w:tcBorders>
          <w:insideH w:val="nil"/>
          <w:insideV w:val="nil"/>
        </w:tcBorders>
        <w:shd w:val="clear" w:color="auto" w:fill="F8DB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372E2B"/>
    <w:pPr>
      <w:spacing w:before="170" w:after="0" w:line="240" w:lineRule="auto"/>
    </w:pPr>
    <w:tblPr>
      <w:tblStyleRowBandSize w:val="1"/>
      <w:tblStyleColBandSize w:val="1"/>
      <w:tblBorders>
        <w:top w:val="single" w:sz="8" w:space="0" w:color="3584D7" w:themeColor="accent2" w:themeTint="BF"/>
        <w:left w:val="single" w:sz="8" w:space="0" w:color="3584D7" w:themeColor="accent2" w:themeTint="BF"/>
        <w:bottom w:val="single" w:sz="8" w:space="0" w:color="3584D7" w:themeColor="accent2" w:themeTint="BF"/>
        <w:right w:val="single" w:sz="8" w:space="0" w:color="3584D7" w:themeColor="accent2" w:themeTint="BF"/>
        <w:insideH w:val="single" w:sz="8" w:space="0" w:color="3584D7" w:themeColor="accent2" w:themeTint="BF"/>
      </w:tblBorders>
    </w:tblPr>
    <w:tblStylePr w:type="firstRow">
      <w:pPr>
        <w:spacing w:before="0" w:after="0" w:line="240" w:lineRule="auto"/>
      </w:pPr>
      <w:rPr>
        <w:b/>
        <w:bCs/>
        <w:color w:val="FFFFFF" w:themeColor="background1"/>
      </w:rPr>
      <w:tblPr/>
      <w:tcPr>
        <w:tcBorders>
          <w:top w:val="single" w:sz="8" w:space="0" w:color="3584D7" w:themeColor="accent2" w:themeTint="BF"/>
          <w:left w:val="single" w:sz="8" w:space="0" w:color="3584D7" w:themeColor="accent2" w:themeTint="BF"/>
          <w:bottom w:val="single" w:sz="8" w:space="0" w:color="3584D7" w:themeColor="accent2" w:themeTint="BF"/>
          <w:right w:val="single" w:sz="8" w:space="0" w:color="3584D7" w:themeColor="accent2" w:themeTint="BF"/>
          <w:insideH w:val="nil"/>
          <w:insideV w:val="nil"/>
        </w:tcBorders>
        <w:shd w:val="clear" w:color="auto" w:fill="1F5D9E" w:themeFill="accent2"/>
      </w:tcPr>
    </w:tblStylePr>
    <w:tblStylePr w:type="lastRow">
      <w:pPr>
        <w:spacing w:before="0" w:after="0" w:line="240" w:lineRule="auto"/>
      </w:pPr>
      <w:rPr>
        <w:b/>
        <w:bCs/>
      </w:rPr>
      <w:tblPr/>
      <w:tcPr>
        <w:tcBorders>
          <w:top w:val="double" w:sz="6" w:space="0" w:color="3584D7" w:themeColor="accent2" w:themeTint="BF"/>
          <w:left w:val="single" w:sz="8" w:space="0" w:color="3584D7" w:themeColor="accent2" w:themeTint="BF"/>
          <w:bottom w:val="single" w:sz="8" w:space="0" w:color="3584D7" w:themeColor="accent2" w:themeTint="BF"/>
          <w:right w:val="single" w:sz="8" w:space="0" w:color="3584D7"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D6F2" w:themeFill="accent2" w:themeFillTint="3F"/>
      </w:tcPr>
    </w:tblStylePr>
    <w:tblStylePr w:type="band1Horz">
      <w:tblPr/>
      <w:tcPr>
        <w:tcBorders>
          <w:insideH w:val="nil"/>
          <w:insideV w:val="nil"/>
        </w:tcBorders>
        <w:shd w:val="clear" w:color="auto" w:fill="BCD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372E2B"/>
    <w:pPr>
      <w:spacing w:before="170" w:after="0" w:line="240" w:lineRule="auto"/>
    </w:pPr>
    <w:tblPr>
      <w:tblStyleRowBandSize w:val="1"/>
      <w:tblStyleColBandSize w:val="1"/>
      <w:tblBorders>
        <w:top w:val="single" w:sz="8" w:space="0" w:color="9CD5CB" w:themeColor="accent3" w:themeTint="BF"/>
        <w:left w:val="single" w:sz="8" w:space="0" w:color="9CD5CB" w:themeColor="accent3" w:themeTint="BF"/>
        <w:bottom w:val="single" w:sz="8" w:space="0" w:color="9CD5CB" w:themeColor="accent3" w:themeTint="BF"/>
        <w:right w:val="single" w:sz="8" w:space="0" w:color="9CD5CB" w:themeColor="accent3" w:themeTint="BF"/>
        <w:insideH w:val="single" w:sz="8" w:space="0" w:color="9CD5CB" w:themeColor="accent3" w:themeTint="BF"/>
      </w:tblBorders>
    </w:tblPr>
    <w:tblStylePr w:type="firstRow">
      <w:pPr>
        <w:spacing w:before="0" w:after="0" w:line="240" w:lineRule="auto"/>
      </w:pPr>
      <w:rPr>
        <w:b/>
        <w:bCs/>
        <w:color w:val="FFFFFF" w:themeColor="background1"/>
      </w:rPr>
      <w:tblPr/>
      <w:tcPr>
        <w:tcBorders>
          <w:top w:val="single" w:sz="8" w:space="0" w:color="9CD5CB" w:themeColor="accent3" w:themeTint="BF"/>
          <w:left w:val="single" w:sz="8" w:space="0" w:color="9CD5CB" w:themeColor="accent3" w:themeTint="BF"/>
          <w:bottom w:val="single" w:sz="8" w:space="0" w:color="9CD5CB" w:themeColor="accent3" w:themeTint="BF"/>
          <w:right w:val="single" w:sz="8" w:space="0" w:color="9CD5CB" w:themeColor="accent3" w:themeTint="BF"/>
          <w:insideH w:val="nil"/>
          <w:insideV w:val="nil"/>
        </w:tcBorders>
        <w:shd w:val="clear" w:color="auto" w:fill="7BC7BA" w:themeFill="accent3"/>
      </w:tcPr>
    </w:tblStylePr>
    <w:tblStylePr w:type="lastRow">
      <w:pPr>
        <w:spacing w:before="0" w:after="0" w:line="240" w:lineRule="auto"/>
      </w:pPr>
      <w:rPr>
        <w:b/>
        <w:bCs/>
      </w:rPr>
      <w:tblPr/>
      <w:tcPr>
        <w:tcBorders>
          <w:top w:val="double" w:sz="6" w:space="0" w:color="9CD5CB" w:themeColor="accent3" w:themeTint="BF"/>
          <w:left w:val="single" w:sz="8" w:space="0" w:color="9CD5CB" w:themeColor="accent3" w:themeTint="BF"/>
          <w:bottom w:val="single" w:sz="8" w:space="0" w:color="9CD5CB" w:themeColor="accent3" w:themeTint="BF"/>
          <w:right w:val="single" w:sz="8" w:space="0" w:color="9CD5C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F1ED" w:themeFill="accent3" w:themeFillTint="3F"/>
      </w:tcPr>
    </w:tblStylePr>
    <w:tblStylePr w:type="band1Horz">
      <w:tblPr/>
      <w:tcPr>
        <w:tcBorders>
          <w:insideH w:val="nil"/>
          <w:insideV w:val="nil"/>
        </w:tcBorders>
        <w:shd w:val="clear" w:color="auto" w:fill="DEF1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372E2B"/>
    <w:pPr>
      <w:spacing w:before="170" w:after="0" w:line="240" w:lineRule="auto"/>
    </w:pPr>
    <w:tblPr>
      <w:tblStyleRowBandSize w:val="1"/>
      <w:tblStyleColBandSize w:val="1"/>
      <w:tblBorders>
        <w:top w:val="single" w:sz="8" w:space="0" w:color="FFDE40" w:themeColor="accent4" w:themeTint="BF"/>
        <w:left w:val="single" w:sz="8" w:space="0" w:color="FFDE40" w:themeColor="accent4" w:themeTint="BF"/>
        <w:bottom w:val="single" w:sz="8" w:space="0" w:color="FFDE40" w:themeColor="accent4" w:themeTint="BF"/>
        <w:right w:val="single" w:sz="8" w:space="0" w:color="FFDE40" w:themeColor="accent4" w:themeTint="BF"/>
        <w:insideH w:val="single" w:sz="8" w:space="0" w:color="FFDE40" w:themeColor="accent4" w:themeTint="BF"/>
      </w:tblBorders>
    </w:tblPr>
    <w:tblStylePr w:type="firstRow">
      <w:pPr>
        <w:spacing w:before="0" w:after="0" w:line="240" w:lineRule="auto"/>
      </w:pPr>
      <w:rPr>
        <w:b/>
        <w:bCs/>
        <w:color w:val="FFFFFF" w:themeColor="background1"/>
      </w:rPr>
      <w:tblPr/>
      <w:tcPr>
        <w:tcBorders>
          <w:top w:val="single" w:sz="8" w:space="0" w:color="FFDE40" w:themeColor="accent4" w:themeTint="BF"/>
          <w:left w:val="single" w:sz="8" w:space="0" w:color="FFDE40" w:themeColor="accent4" w:themeTint="BF"/>
          <w:bottom w:val="single" w:sz="8" w:space="0" w:color="FFDE40" w:themeColor="accent4" w:themeTint="BF"/>
          <w:right w:val="single" w:sz="8" w:space="0" w:color="FFDE40" w:themeColor="accent4" w:themeTint="BF"/>
          <w:insideH w:val="nil"/>
          <w:insideV w:val="nil"/>
        </w:tcBorders>
        <w:shd w:val="clear" w:color="auto" w:fill="FFD401" w:themeFill="accent4"/>
      </w:tcPr>
    </w:tblStylePr>
    <w:tblStylePr w:type="lastRow">
      <w:pPr>
        <w:spacing w:before="0" w:after="0" w:line="240" w:lineRule="auto"/>
      </w:pPr>
      <w:rPr>
        <w:b/>
        <w:bCs/>
      </w:rPr>
      <w:tblPr/>
      <w:tcPr>
        <w:tcBorders>
          <w:top w:val="double" w:sz="6" w:space="0" w:color="FFDE40" w:themeColor="accent4" w:themeTint="BF"/>
          <w:left w:val="single" w:sz="8" w:space="0" w:color="FFDE40" w:themeColor="accent4" w:themeTint="BF"/>
          <w:bottom w:val="single" w:sz="8" w:space="0" w:color="FFDE40" w:themeColor="accent4" w:themeTint="BF"/>
          <w:right w:val="single" w:sz="8" w:space="0" w:color="FFDE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4C0" w:themeFill="accent4" w:themeFillTint="3F"/>
      </w:tcPr>
    </w:tblStylePr>
    <w:tblStylePr w:type="band1Horz">
      <w:tblPr/>
      <w:tcPr>
        <w:tcBorders>
          <w:insideH w:val="nil"/>
          <w:insideV w:val="nil"/>
        </w:tcBorders>
        <w:shd w:val="clear" w:color="auto" w:fill="FFF4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372E2B"/>
    <w:pPr>
      <w:spacing w:before="170" w:after="0" w:line="240" w:lineRule="auto"/>
    </w:pPr>
    <w:tblPr>
      <w:tblStyleRowBandSize w:val="1"/>
      <w:tblStyleColBandSize w:val="1"/>
      <w:tblBorders>
        <w:top w:val="single" w:sz="8" w:space="0" w:color="04F3EC" w:themeColor="accent5" w:themeTint="BF"/>
        <w:left w:val="single" w:sz="8" w:space="0" w:color="04F3EC" w:themeColor="accent5" w:themeTint="BF"/>
        <w:bottom w:val="single" w:sz="8" w:space="0" w:color="04F3EC" w:themeColor="accent5" w:themeTint="BF"/>
        <w:right w:val="single" w:sz="8" w:space="0" w:color="04F3EC" w:themeColor="accent5" w:themeTint="BF"/>
        <w:insideH w:val="single" w:sz="8" w:space="0" w:color="04F3EC" w:themeColor="accent5" w:themeTint="BF"/>
      </w:tblBorders>
    </w:tblPr>
    <w:tblStylePr w:type="firstRow">
      <w:pPr>
        <w:spacing w:before="0" w:after="0" w:line="240" w:lineRule="auto"/>
      </w:pPr>
      <w:rPr>
        <w:b/>
        <w:bCs/>
        <w:color w:val="FFFFFF" w:themeColor="background1"/>
      </w:rPr>
      <w:tblPr/>
      <w:tcPr>
        <w:tcBorders>
          <w:top w:val="single" w:sz="8" w:space="0" w:color="04F3EC" w:themeColor="accent5" w:themeTint="BF"/>
          <w:left w:val="single" w:sz="8" w:space="0" w:color="04F3EC" w:themeColor="accent5" w:themeTint="BF"/>
          <w:bottom w:val="single" w:sz="8" w:space="0" w:color="04F3EC" w:themeColor="accent5" w:themeTint="BF"/>
          <w:right w:val="single" w:sz="8" w:space="0" w:color="04F3EC" w:themeColor="accent5" w:themeTint="BF"/>
          <w:insideH w:val="nil"/>
          <w:insideV w:val="nil"/>
        </w:tcBorders>
        <w:shd w:val="clear" w:color="auto" w:fill="039E9A" w:themeFill="accent5"/>
      </w:tcPr>
    </w:tblStylePr>
    <w:tblStylePr w:type="lastRow">
      <w:pPr>
        <w:spacing w:before="0" w:after="0" w:line="240" w:lineRule="auto"/>
      </w:pPr>
      <w:rPr>
        <w:b/>
        <w:bCs/>
      </w:rPr>
      <w:tblPr/>
      <w:tcPr>
        <w:tcBorders>
          <w:top w:val="double" w:sz="6" w:space="0" w:color="04F3EC" w:themeColor="accent5" w:themeTint="BF"/>
          <w:left w:val="single" w:sz="8" w:space="0" w:color="04F3EC" w:themeColor="accent5" w:themeTint="BF"/>
          <w:bottom w:val="single" w:sz="8" w:space="0" w:color="04F3EC" w:themeColor="accent5" w:themeTint="BF"/>
          <w:right w:val="single" w:sz="8" w:space="0" w:color="04F3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DFB" w:themeFill="accent5" w:themeFillTint="3F"/>
      </w:tcPr>
    </w:tblStylePr>
    <w:tblStylePr w:type="band1Horz">
      <w:tblPr/>
      <w:tcPr>
        <w:tcBorders>
          <w:insideH w:val="nil"/>
          <w:insideV w:val="nil"/>
        </w:tcBorders>
        <w:shd w:val="clear" w:color="auto" w:fill="AAFD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372E2B"/>
    <w:pPr>
      <w:spacing w:before="170" w:after="0" w:line="240" w:lineRule="auto"/>
    </w:pPr>
    <w:tblPr>
      <w:tblStyleRowBandSize w:val="1"/>
      <w:tblStyleColBandSize w:val="1"/>
      <w:tblBorders>
        <w:top w:val="single" w:sz="8" w:space="0" w:color="E36747" w:themeColor="accent6" w:themeTint="BF"/>
        <w:left w:val="single" w:sz="8" w:space="0" w:color="E36747" w:themeColor="accent6" w:themeTint="BF"/>
        <w:bottom w:val="single" w:sz="8" w:space="0" w:color="E36747" w:themeColor="accent6" w:themeTint="BF"/>
        <w:right w:val="single" w:sz="8" w:space="0" w:color="E36747" w:themeColor="accent6" w:themeTint="BF"/>
        <w:insideH w:val="single" w:sz="8" w:space="0" w:color="E36747" w:themeColor="accent6" w:themeTint="BF"/>
      </w:tblBorders>
    </w:tblPr>
    <w:tblStylePr w:type="firstRow">
      <w:pPr>
        <w:spacing w:before="0" w:after="0" w:line="240" w:lineRule="auto"/>
      </w:pPr>
      <w:rPr>
        <w:b/>
        <w:bCs/>
        <w:color w:val="FFFFFF" w:themeColor="background1"/>
      </w:rPr>
      <w:tblPr/>
      <w:tcPr>
        <w:tcBorders>
          <w:top w:val="single" w:sz="8" w:space="0" w:color="E36747" w:themeColor="accent6" w:themeTint="BF"/>
          <w:left w:val="single" w:sz="8" w:space="0" w:color="E36747" w:themeColor="accent6" w:themeTint="BF"/>
          <w:bottom w:val="single" w:sz="8" w:space="0" w:color="E36747" w:themeColor="accent6" w:themeTint="BF"/>
          <w:right w:val="single" w:sz="8" w:space="0" w:color="E36747" w:themeColor="accent6" w:themeTint="BF"/>
          <w:insideH w:val="nil"/>
          <w:insideV w:val="nil"/>
        </w:tcBorders>
        <w:shd w:val="clear" w:color="auto" w:fill="C7411E" w:themeFill="accent6"/>
      </w:tcPr>
    </w:tblStylePr>
    <w:tblStylePr w:type="lastRow">
      <w:pPr>
        <w:spacing w:before="0" w:after="0" w:line="240" w:lineRule="auto"/>
      </w:pPr>
      <w:rPr>
        <w:b/>
        <w:bCs/>
      </w:rPr>
      <w:tblPr/>
      <w:tcPr>
        <w:tcBorders>
          <w:top w:val="double" w:sz="6" w:space="0" w:color="E36747" w:themeColor="accent6" w:themeTint="BF"/>
          <w:left w:val="single" w:sz="8" w:space="0" w:color="E36747" w:themeColor="accent6" w:themeTint="BF"/>
          <w:bottom w:val="single" w:sz="8" w:space="0" w:color="E36747" w:themeColor="accent6" w:themeTint="BF"/>
          <w:right w:val="single" w:sz="8" w:space="0" w:color="E367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CCC2" w:themeFill="accent6" w:themeFillTint="3F"/>
      </w:tcPr>
    </w:tblStylePr>
    <w:tblStylePr w:type="band1Horz">
      <w:tblPr/>
      <w:tcPr>
        <w:tcBorders>
          <w:insideH w:val="nil"/>
          <w:insideV w:val="nil"/>
        </w:tcBorders>
        <w:shd w:val="clear" w:color="auto" w:fill="F6CC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72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7222" w:themeFill="accent1"/>
      </w:tcPr>
    </w:tblStylePr>
    <w:tblStylePr w:type="lastCol">
      <w:rPr>
        <w:b/>
        <w:bCs/>
        <w:color w:val="FFFFFF" w:themeColor="background1"/>
      </w:rPr>
      <w:tblPr/>
      <w:tcPr>
        <w:tcBorders>
          <w:left w:val="nil"/>
          <w:right w:val="nil"/>
          <w:insideH w:val="nil"/>
          <w:insideV w:val="nil"/>
        </w:tcBorders>
        <w:shd w:val="clear" w:color="auto" w:fill="E372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5D9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5D9E" w:themeFill="accent2"/>
      </w:tcPr>
    </w:tblStylePr>
    <w:tblStylePr w:type="lastCol">
      <w:rPr>
        <w:b/>
        <w:bCs/>
        <w:color w:val="FFFFFF" w:themeColor="background1"/>
      </w:rPr>
      <w:tblPr/>
      <w:tcPr>
        <w:tcBorders>
          <w:left w:val="nil"/>
          <w:right w:val="nil"/>
          <w:insideH w:val="nil"/>
          <w:insideV w:val="nil"/>
        </w:tcBorders>
        <w:shd w:val="clear" w:color="auto" w:fill="1F5D9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7B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7BA" w:themeFill="accent3"/>
      </w:tcPr>
    </w:tblStylePr>
    <w:tblStylePr w:type="lastCol">
      <w:rPr>
        <w:b/>
        <w:bCs/>
        <w:color w:val="FFFFFF" w:themeColor="background1"/>
      </w:rPr>
      <w:tblPr/>
      <w:tcPr>
        <w:tcBorders>
          <w:left w:val="nil"/>
          <w:right w:val="nil"/>
          <w:insideH w:val="nil"/>
          <w:insideV w:val="nil"/>
        </w:tcBorders>
        <w:shd w:val="clear" w:color="auto" w:fill="7BC7B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401" w:themeFill="accent4"/>
      </w:tcPr>
    </w:tblStylePr>
    <w:tblStylePr w:type="lastCol">
      <w:rPr>
        <w:b/>
        <w:bCs/>
        <w:color w:val="FFFFFF" w:themeColor="background1"/>
      </w:rPr>
      <w:tblPr/>
      <w:tcPr>
        <w:tcBorders>
          <w:left w:val="nil"/>
          <w:right w:val="nil"/>
          <w:insideH w:val="nil"/>
          <w:insideV w:val="nil"/>
        </w:tcBorders>
        <w:shd w:val="clear" w:color="auto" w:fill="FFD4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9E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9E9A" w:themeFill="accent5"/>
      </w:tcPr>
    </w:tblStylePr>
    <w:tblStylePr w:type="lastCol">
      <w:rPr>
        <w:b/>
        <w:bCs/>
        <w:color w:val="FFFFFF" w:themeColor="background1"/>
      </w:rPr>
      <w:tblPr/>
      <w:tcPr>
        <w:tcBorders>
          <w:left w:val="nil"/>
          <w:right w:val="nil"/>
          <w:insideH w:val="nil"/>
          <w:insideV w:val="nil"/>
        </w:tcBorders>
        <w:shd w:val="clear" w:color="auto" w:fill="039E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372E2B"/>
    <w:pPr>
      <w:spacing w:before="17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41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411E" w:themeFill="accent6"/>
      </w:tcPr>
    </w:tblStylePr>
    <w:tblStylePr w:type="lastCol">
      <w:rPr>
        <w:b/>
        <w:bCs/>
        <w:color w:val="FFFFFF" w:themeColor="background1"/>
      </w:rPr>
      <w:tblPr/>
      <w:tcPr>
        <w:tcBorders>
          <w:left w:val="nil"/>
          <w:right w:val="nil"/>
          <w:insideH w:val="nil"/>
          <w:insideV w:val="nil"/>
        </w:tcBorders>
        <w:shd w:val="clear" w:color="auto" w:fill="C741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372E2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72E2B"/>
    <w:rPr>
      <w:rFonts w:asciiTheme="majorHAnsi" w:eastAsiaTheme="majorEastAsia" w:hAnsiTheme="majorHAnsi" w:cstheme="majorBidi"/>
      <w:sz w:val="22"/>
      <w:szCs w:val="22"/>
      <w:shd w:val="pct20" w:color="auto" w:fill="auto"/>
    </w:rPr>
  </w:style>
  <w:style w:type="paragraph" w:styleId="NoSpacing">
    <w:name w:val="No Spacing"/>
    <w:uiPriority w:val="1"/>
    <w:qFormat/>
    <w:rsid w:val="007B2CB3"/>
    <w:pPr>
      <w:tabs>
        <w:tab w:val="left" w:pos="357"/>
      </w:tabs>
      <w:spacing w:before="0" w:after="0" w:line="240" w:lineRule="auto"/>
    </w:pPr>
  </w:style>
  <w:style w:type="paragraph" w:styleId="NormalWeb">
    <w:name w:val="Normal (Web)"/>
    <w:basedOn w:val="Normal"/>
    <w:uiPriority w:val="99"/>
    <w:semiHidden/>
    <w:unhideWhenUsed/>
    <w:locked/>
    <w:rsid w:val="00372E2B"/>
    <w:rPr>
      <w:rFonts w:ascii="Times New Roman" w:hAnsi="Times New Roman" w:cs="Times New Roman"/>
    </w:rPr>
  </w:style>
  <w:style w:type="paragraph" w:styleId="NormalIndent">
    <w:name w:val="Normal Indent"/>
    <w:basedOn w:val="Normal"/>
    <w:uiPriority w:val="99"/>
    <w:semiHidden/>
    <w:unhideWhenUsed/>
    <w:locked/>
    <w:rsid w:val="00372E2B"/>
    <w:pPr>
      <w:ind w:left="720"/>
    </w:pPr>
  </w:style>
  <w:style w:type="paragraph" w:styleId="NoteHeading">
    <w:name w:val="Note Heading"/>
    <w:basedOn w:val="Normal"/>
    <w:next w:val="Normal"/>
    <w:link w:val="NoteHeadingChar"/>
    <w:uiPriority w:val="99"/>
    <w:semiHidden/>
    <w:unhideWhenUsed/>
    <w:locked/>
    <w:rsid w:val="00372E2B"/>
    <w:pPr>
      <w:spacing w:line="240" w:lineRule="auto"/>
    </w:pPr>
  </w:style>
  <w:style w:type="character" w:customStyle="1" w:styleId="NoteHeadingChar">
    <w:name w:val="Note Heading Char"/>
    <w:basedOn w:val="DefaultParagraphFont"/>
    <w:link w:val="NoteHeading"/>
    <w:uiPriority w:val="99"/>
    <w:semiHidden/>
    <w:rsid w:val="00372E2B"/>
    <w:rPr>
      <w:sz w:val="22"/>
      <w:szCs w:val="22"/>
    </w:rPr>
  </w:style>
  <w:style w:type="character" w:styleId="PageNumber">
    <w:name w:val="page number"/>
    <w:basedOn w:val="DefaultParagraphFont"/>
    <w:uiPriority w:val="99"/>
    <w:semiHidden/>
    <w:unhideWhenUsed/>
    <w:locked/>
    <w:rsid w:val="00372E2B"/>
    <w:rPr>
      <w:noProof w:val="0"/>
      <w:lang w:val="en-AU"/>
    </w:rPr>
  </w:style>
  <w:style w:type="paragraph" w:styleId="PlainText">
    <w:name w:val="Plain Text"/>
    <w:basedOn w:val="Normal"/>
    <w:link w:val="PlainTextChar"/>
    <w:uiPriority w:val="99"/>
    <w:semiHidden/>
    <w:unhideWhenUsed/>
    <w:rsid w:val="00372E2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72E2B"/>
    <w:rPr>
      <w:rFonts w:ascii="Consolas" w:hAnsi="Consolas"/>
      <w:sz w:val="21"/>
      <w:szCs w:val="21"/>
    </w:rPr>
  </w:style>
  <w:style w:type="paragraph" w:styleId="Quote">
    <w:name w:val="Quote"/>
    <w:basedOn w:val="Normal"/>
    <w:next w:val="Normal"/>
    <w:link w:val="QuoteChar"/>
    <w:uiPriority w:val="29"/>
    <w:qFormat/>
    <w:rsid w:val="00602713"/>
    <w:pPr>
      <w:ind w:left="720" w:right="720"/>
    </w:pPr>
    <w:rPr>
      <w:iCs/>
      <w:color w:val="000000" w:themeColor="text1"/>
    </w:rPr>
  </w:style>
  <w:style w:type="character" w:customStyle="1" w:styleId="QuoteChar">
    <w:name w:val="Quote Char"/>
    <w:basedOn w:val="DefaultParagraphFont"/>
    <w:link w:val="Quote"/>
    <w:uiPriority w:val="29"/>
    <w:rsid w:val="00602713"/>
    <w:rPr>
      <w:iCs/>
      <w:color w:val="000000" w:themeColor="text1"/>
    </w:rPr>
  </w:style>
  <w:style w:type="paragraph" w:styleId="Salutation">
    <w:name w:val="Salutation"/>
    <w:basedOn w:val="Normal"/>
    <w:next w:val="Normal"/>
    <w:link w:val="SalutationChar"/>
    <w:uiPriority w:val="99"/>
    <w:semiHidden/>
    <w:unhideWhenUsed/>
    <w:locked/>
    <w:rsid w:val="00372E2B"/>
  </w:style>
  <w:style w:type="character" w:customStyle="1" w:styleId="SalutationChar">
    <w:name w:val="Salutation Char"/>
    <w:basedOn w:val="DefaultParagraphFont"/>
    <w:link w:val="Salutation"/>
    <w:uiPriority w:val="99"/>
    <w:semiHidden/>
    <w:rsid w:val="00372E2B"/>
    <w:rPr>
      <w:sz w:val="22"/>
      <w:szCs w:val="22"/>
    </w:rPr>
  </w:style>
  <w:style w:type="paragraph" w:styleId="Signature">
    <w:name w:val="Signature"/>
    <w:basedOn w:val="Normal"/>
    <w:link w:val="SignatureChar"/>
    <w:uiPriority w:val="99"/>
    <w:semiHidden/>
    <w:unhideWhenUsed/>
    <w:locked/>
    <w:rsid w:val="00372E2B"/>
    <w:pPr>
      <w:spacing w:line="240" w:lineRule="auto"/>
      <w:ind w:left="4252"/>
    </w:pPr>
  </w:style>
  <w:style w:type="character" w:customStyle="1" w:styleId="SignatureChar">
    <w:name w:val="Signature Char"/>
    <w:basedOn w:val="DefaultParagraphFont"/>
    <w:link w:val="Signature"/>
    <w:uiPriority w:val="99"/>
    <w:semiHidden/>
    <w:rsid w:val="00372E2B"/>
    <w:rPr>
      <w:sz w:val="22"/>
      <w:szCs w:val="22"/>
    </w:rPr>
  </w:style>
  <w:style w:type="character" w:styleId="Strong">
    <w:name w:val="Strong"/>
    <w:basedOn w:val="DefaultParagraphFont"/>
    <w:uiPriority w:val="22"/>
    <w:semiHidden/>
    <w:qFormat/>
    <w:locked/>
    <w:rsid w:val="00372E2B"/>
    <w:rPr>
      <w:b/>
      <w:bCs/>
      <w:noProof w:val="0"/>
      <w:lang w:val="en-AU"/>
    </w:rPr>
  </w:style>
  <w:style w:type="paragraph" w:customStyle="1" w:styleId="SubTitle">
    <w:name w:val="Sub Title"/>
    <w:basedOn w:val="Title"/>
    <w:uiPriority w:val="38"/>
    <w:rsid w:val="00A92719"/>
    <w:pPr>
      <w:framePr w:wrap="notBeside" w:hAnchor="text" w:y="12475"/>
    </w:pPr>
    <w:rPr>
      <w:sz w:val="54"/>
    </w:rPr>
  </w:style>
  <w:style w:type="character" w:styleId="SubtleEmphasis">
    <w:name w:val="Subtle Emphasis"/>
    <w:basedOn w:val="DefaultParagraphFont"/>
    <w:uiPriority w:val="19"/>
    <w:semiHidden/>
    <w:qFormat/>
    <w:locked/>
    <w:rsid w:val="00372E2B"/>
    <w:rPr>
      <w:i/>
      <w:iCs/>
      <w:noProof w:val="0"/>
      <w:color w:val="808080" w:themeColor="text1" w:themeTint="7F"/>
      <w:lang w:val="en-AU"/>
    </w:rPr>
  </w:style>
  <w:style w:type="character" w:styleId="SubtleReference">
    <w:name w:val="Subtle Reference"/>
    <w:basedOn w:val="DefaultParagraphFont"/>
    <w:uiPriority w:val="31"/>
    <w:semiHidden/>
    <w:qFormat/>
    <w:locked/>
    <w:rsid w:val="00372E2B"/>
    <w:rPr>
      <w:smallCaps/>
      <w:noProof w:val="0"/>
      <w:color w:val="1F5D9E" w:themeColor="accent2"/>
      <w:u w:val="single"/>
      <w:lang w:val="en-AU"/>
    </w:rPr>
  </w:style>
  <w:style w:type="table" w:styleId="Table3Deffects1">
    <w:name w:val="Table 3D effects 1"/>
    <w:basedOn w:val="TableNormal"/>
    <w:uiPriority w:val="99"/>
    <w:semiHidden/>
    <w:unhideWhenUsed/>
    <w:locked/>
    <w:rsid w:val="00372E2B"/>
    <w:pPr>
      <w:spacing w:before="170"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372E2B"/>
    <w:pPr>
      <w:spacing w:before="170"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372E2B"/>
    <w:pPr>
      <w:spacing w:before="170"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372E2B"/>
    <w:pPr>
      <w:spacing w:before="170"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372E2B"/>
    <w:pPr>
      <w:spacing w:before="170"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372E2B"/>
    <w:pPr>
      <w:spacing w:before="170"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372E2B"/>
    <w:pPr>
      <w:spacing w:before="170"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372E2B"/>
    <w:pPr>
      <w:spacing w:before="170"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372E2B"/>
    <w:pPr>
      <w:spacing w:before="170"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372E2B"/>
    <w:pPr>
      <w:spacing w:before="170"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372E2B"/>
    <w:pPr>
      <w:spacing w:before="170"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372E2B"/>
    <w:pPr>
      <w:spacing w:before="170"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372E2B"/>
    <w:pPr>
      <w:spacing w:before="170"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372E2B"/>
    <w:pPr>
      <w:spacing w:before="170"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372E2B"/>
    <w:pPr>
      <w:spacing w:before="170"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372E2B"/>
    <w:pPr>
      <w:spacing w:before="170"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372E2B"/>
    <w:pPr>
      <w:spacing w:before="170"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372E2B"/>
    <w:pPr>
      <w:spacing w:before="17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372E2B"/>
    <w:pPr>
      <w:spacing w:before="170"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372E2B"/>
    <w:pPr>
      <w:spacing w:before="170"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372E2B"/>
    <w:pPr>
      <w:spacing w:before="170"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372E2B"/>
    <w:pPr>
      <w:spacing w:before="170"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372E2B"/>
    <w:pPr>
      <w:spacing w:before="170"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372E2B"/>
    <w:pPr>
      <w:spacing w:before="170"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372E2B"/>
    <w:pPr>
      <w:spacing w:before="170"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372E2B"/>
    <w:pPr>
      <w:spacing w:before="170"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372E2B"/>
    <w:pPr>
      <w:spacing w:before="170"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372E2B"/>
    <w:pPr>
      <w:spacing w:before="170"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372E2B"/>
    <w:pPr>
      <w:spacing w:before="170"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372E2B"/>
    <w:pPr>
      <w:spacing w:before="170"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372E2B"/>
    <w:pPr>
      <w:spacing w:before="170"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372E2B"/>
    <w:pPr>
      <w:spacing w:before="170"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372E2B"/>
    <w:pPr>
      <w:spacing w:before="170"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B2222"/>
    <w:pPr>
      <w:tabs>
        <w:tab w:val="right" w:leader="dot" w:pos="8505"/>
      </w:tabs>
      <w:ind w:left="190" w:hanging="190"/>
    </w:pPr>
  </w:style>
  <w:style w:type="table" w:styleId="TableProfessional">
    <w:name w:val="Table Professional"/>
    <w:basedOn w:val="TableNormal"/>
    <w:uiPriority w:val="99"/>
    <w:semiHidden/>
    <w:unhideWhenUsed/>
    <w:locked/>
    <w:rsid w:val="00372E2B"/>
    <w:pPr>
      <w:spacing w:before="17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372E2B"/>
    <w:pPr>
      <w:spacing w:before="170"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372E2B"/>
    <w:pPr>
      <w:spacing w:before="170"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372E2B"/>
    <w:pPr>
      <w:spacing w:before="170"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372E2B"/>
    <w:pPr>
      <w:spacing w:before="170"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372E2B"/>
    <w:pPr>
      <w:spacing w:before="170"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372E2B"/>
    <w:pPr>
      <w:spacing w:before="17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372E2B"/>
    <w:pPr>
      <w:spacing w:before="170"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372E2B"/>
    <w:pPr>
      <w:spacing w:before="170"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372E2B"/>
    <w:pPr>
      <w:spacing w:before="170"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40"/>
    <w:rsid w:val="00306054"/>
    <w:pPr>
      <w:keepNext/>
      <w:pageBreakBefore/>
      <w:numPr>
        <w:numId w:val="0"/>
      </w:numPr>
      <w:tabs>
        <w:tab w:val="clear" w:pos="357"/>
      </w:tabs>
      <w:spacing w:after="360"/>
      <w:outlineLvl w:val="1"/>
    </w:pPr>
    <w:rPr>
      <w:rFonts w:asciiTheme="majorHAnsi" w:eastAsiaTheme="majorEastAsia" w:hAnsiTheme="majorHAnsi" w:cstheme="majorBidi"/>
      <w:b/>
      <w:color w:val="E37222" w:themeColor="accent1"/>
      <w:sz w:val="40"/>
      <w:szCs w:val="26"/>
    </w:rPr>
  </w:style>
  <w:style w:type="paragraph" w:styleId="TOC2">
    <w:name w:val="toc 2"/>
    <w:basedOn w:val="Normal"/>
    <w:next w:val="Normal"/>
    <w:autoRedefine/>
    <w:uiPriority w:val="39"/>
    <w:rsid w:val="00425EAD"/>
    <w:pPr>
      <w:tabs>
        <w:tab w:val="clear" w:pos="357"/>
        <w:tab w:val="left" w:pos="1701"/>
        <w:tab w:val="right" w:pos="9129"/>
      </w:tabs>
      <w:spacing w:after="40"/>
      <w:ind w:left="1134" w:right="907"/>
      <w:contextualSpacing/>
    </w:pPr>
    <w:rPr>
      <w:rFonts w:asciiTheme="majorHAnsi" w:eastAsiaTheme="majorEastAsia" w:hAnsiTheme="majorHAnsi" w:cstheme="majorBidi"/>
      <w:bCs/>
      <w:noProof/>
    </w:rPr>
  </w:style>
  <w:style w:type="paragraph" w:styleId="TOC3">
    <w:name w:val="toc 3"/>
    <w:basedOn w:val="Normal"/>
    <w:next w:val="Normal"/>
    <w:autoRedefine/>
    <w:uiPriority w:val="39"/>
    <w:semiHidden/>
    <w:rsid w:val="003B2222"/>
    <w:pPr>
      <w:tabs>
        <w:tab w:val="left" w:pos="2268"/>
        <w:tab w:val="right" w:leader="dot" w:pos="8505"/>
      </w:tabs>
      <w:spacing w:after="40"/>
      <w:ind w:left="1418"/>
      <w:contextualSpacing/>
    </w:pPr>
    <w:rPr>
      <w:sz w:val="20"/>
    </w:rPr>
  </w:style>
  <w:style w:type="paragraph" w:styleId="TOC4">
    <w:name w:val="toc 4"/>
    <w:basedOn w:val="Normal"/>
    <w:next w:val="Normal"/>
    <w:autoRedefine/>
    <w:uiPriority w:val="39"/>
    <w:semiHidden/>
    <w:rsid w:val="003B2222"/>
    <w:pPr>
      <w:tabs>
        <w:tab w:val="right" w:leader="dot" w:pos="8505"/>
      </w:tabs>
      <w:spacing w:after="40"/>
      <w:ind w:left="573"/>
      <w:contextualSpacing/>
    </w:pPr>
    <w:rPr>
      <w:sz w:val="20"/>
    </w:rPr>
  </w:style>
  <w:style w:type="paragraph" w:styleId="TOC5">
    <w:name w:val="toc 5"/>
    <w:basedOn w:val="Normal"/>
    <w:next w:val="Normal"/>
    <w:autoRedefine/>
    <w:uiPriority w:val="39"/>
    <w:semiHidden/>
    <w:rsid w:val="003B2222"/>
    <w:pPr>
      <w:tabs>
        <w:tab w:val="right" w:leader="dot" w:pos="8505"/>
      </w:tabs>
      <w:spacing w:after="100"/>
      <w:ind w:left="760"/>
    </w:pPr>
  </w:style>
  <w:style w:type="paragraph" w:styleId="TOC6">
    <w:name w:val="toc 6"/>
    <w:basedOn w:val="Normal"/>
    <w:next w:val="Normal"/>
    <w:autoRedefine/>
    <w:uiPriority w:val="39"/>
    <w:semiHidden/>
    <w:rsid w:val="003B2222"/>
    <w:pPr>
      <w:tabs>
        <w:tab w:val="right" w:leader="dot" w:pos="8505"/>
      </w:tabs>
      <w:spacing w:after="100"/>
      <w:ind w:left="950"/>
    </w:pPr>
  </w:style>
  <w:style w:type="paragraph" w:styleId="TOC7">
    <w:name w:val="toc 7"/>
    <w:basedOn w:val="Normal"/>
    <w:next w:val="Normal"/>
    <w:autoRedefine/>
    <w:uiPriority w:val="39"/>
    <w:semiHidden/>
    <w:rsid w:val="003B2222"/>
    <w:pPr>
      <w:tabs>
        <w:tab w:val="right" w:leader="dot" w:pos="8505"/>
      </w:tabs>
      <w:spacing w:after="100"/>
      <w:ind w:left="1140"/>
    </w:pPr>
  </w:style>
  <w:style w:type="paragraph" w:styleId="TOC8">
    <w:name w:val="toc 8"/>
    <w:basedOn w:val="Normal"/>
    <w:next w:val="Normal"/>
    <w:autoRedefine/>
    <w:uiPriority w:val="39"/>
    <w:semiHidden/>
    <w:rsid w:val="003B2222"/>
    <w:pPr>
      <w:tabs>
        <w:tab w:val="right" w:leader="dot" w:pos="8505"/>
      </w:tabs>
      <w:spacing w:after="100"/>
      <w:ind w:left="1330"/>
    </w:pPr>
  </w:style>
  <w:style w:type="paragraph" w:styleId="TOC9">
    <w:name w:val="toc 9"/>
    <w:basedOn w:val="Normal"/>
    <w:next w:val="Normal"/>
    <w:autoRedefine/>
    <w:uiPriority w:val="39"/>
    <w:semiHidden/>
    <w:rsid w:val="003B2222"/>
    <w:pPr>
      <w:tabs>
        <w:tab w:val="right" w:leader="dot" w:pos="8505"/>
      </w:tabs>
      <w:spacing w:after="100"/>
      <w:ind w:left="1520"/>
    </w:pPr>
  </w:style>
  <w:style w:type="paragraph" w:customStyle="1" w:styleId="NotesSources">
    <w:name w:val="Notes/Sources"/>
    <w:basedOn w:val="Normal"/>
    <w:uiPriority w:val="36"/>
    <w:qFormat/>
    <w:rsid w:val="00D55596"/>
    <w:pPr>
      <w:spacing w:line="240" w:lineRule="auto"/>
      <w:jc w:val="both"/>
    </w:pPr>
    <w:rPr>
      <w:sz w:val="18"/>
    </w:rPr>
  </w:style>
  <w:style w:type="table" w:customStyle="1" w:styleId="TableGridLight1">
    <w:name w:val="Table Grid Light1"/>
    <w:basedOn w:val="TableNormal"/>
    <w:uiPriority w:val="40"/>
    <w:locked/>
    <w:rsid w:val="00F804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ingOrange">
    <w:name w:val="Sub Heading Orange"/>
    <w:basedOn w:val="SubHeading"/>
    <w:uiPriority w:val="11"/>
    <w:qFormat/>
    <w:rsid w:val="00DC1887"/>
    <w:rPr>
      <w:color w:val="E37222" w:themeColor="accent1"/>
    </w:rPr>
  </w:style>
  <w:style w:type="paragraph" w:customStyle="1" w:styleId="ExecSummaryHeading">
    <w:name w:val="Exec Summary Heading"/>
    <w:basedOn w:val="Heading1"/>
    <w:uiPriority w:val="39"/>
    <w:rsid w:val="00306054"/>
    <w:pPr>
      <w:numPr>
        <w:numId w:val="0"/>
      </w:numPr>
    </w:pPr>
  </w:style>
  <w:style w:type="table" w:customStyle="1" w:styleId="TableCentered">
    <w:name w:val="Table Centered"/>
    <w:basedOn w:val="TableGrid"/>
    <w:uiPriority w:val="99"/>
    <w:locked/>
    <w:rsid w:val="00372E2B"/>
    <w:pPr>
      <w:spacing w:line="240" w:lineRule="auto"/>
    </w:pPr>
    <w:tblPr/>
    <w:tcPr>
      <w:shd w:val="clear" w:color="auto" w:fill="auto"/>
    </w:tcPr>
    <w:tblStylePr w:type="firstRow">
      <w:pPr>
        <w:jc w:val="center"/>
      </w:pPr>
      <w:rPr>
        <w:rFonts w:ascii="Arial" w:hAnsi="Arial"/>
        <w:b/>
        <w:color w:val="FFFFFF" w:themeColor="background1"/>
        <w:sz w:val="20"/>
      </w:rPr>
      <w:tblPr/>
      <w:trPr>
        <w:tblHeader/>
      </w:trPr>
      <w:tcPr>
        <w:tcBorders>
          <w:top w:val="nil"/>
          <w:left w:val="nil"/>
          <w:bottom w:val="single" w:sz="4" w:space="0" w:color="FFFFFF" w:themeColor="background1"/>
          <w:right w:val="nil"/>
          <w:insideH w:val="nil"/>
          <w:insideV w:val="single" w:sz="2" w:space="0" w:color="FFFFFF" w:themeColor="background1"/>
          <w:tl2br w:val="nil"/>
          <w:tr2bl w:val="nil"/>
        </w:tcBorders>
        <w:shd w:val="clear" w:color="auto" w:fill="E6E6E6"/>
        <w:tcMar>
          <w:top w:w="113" w:type="dxa"/>
          <w:left w:w="0" w:type="nil"/>
          <w:bottom w:w="113" w:type="dxa"/>
          <w:right w:w="0" w:type="nil"/>
        </w:tcMar>
        <w:vAlign w:val="center"/>
      </w:tcPr>
    </w:tblStylePr>
    <w:tblStylePr w:type="lastRow">
      <w:rPr>
        <w:rFonts w:ascii="Arial" w:hAnsi="Arial"/>
        <w:b/>
        <w:sz w:val="20"/>
      </w:rPr>
      <w:tblPr/>
      <w:tcPr>
        <w:tcBorders>
          <w:top w:val="single" w:sz="4" w:space="0" w:color="E37222" w:themeColor="accent1"/>
          <w:left w:val="nil"/>
          <w:bottom w:val="single" w:sz="4" w:space="0" w:color="E37222" w:themeColor="accent1"/>
          <w:right w:val="nil"/>
          <w:insideH w:val="nil"/>
          <w:insideV w:val="nil"/>
          <w:tl2br w:val="nil"/>
          <w:tr2bl w:val="nil"/>
        </w:tcBorders>
      </w:tcPr>
    </w:tblStylePr>
    <w:tblStylePr w:type="firstCol">
      <w:pPr>
        <w:jc w:val="left"/>
      </w:pPr>
      <w:rPr>
        <w:b/>
      </w:rPr>
    </w:tblStylePr>
    <w:tblStylePr w:type="lastCol">
      <w:pPr>
        <w:jc w:val="right"/>
      </w:pPr>
    </w:tblStylePr>
    <w:tblStylePr w:type="band1Vert">
      <w:tblPr/>
      <w:tcPr>
        <w:shd w:val="clear" w:color="auto" w:fill="F9E2D2" w:themeFill="accent1" w:themeFillTint="33"/>
      </w:tcPr>
    </w:tblStylePr>
    <w:tblStylePr w:type="band1Horz">
      <w:tblPr/>
      <w:tcPr>
        <w:tcBorders>
          <w:top w:val="nil"/>
          <w:left w:val="nil"/>
          <w:bottom w:val="single" w:sz="4" w:space="0" w:color="000000" w:themeColor="text1"/>
          <w:right w:val="nil"/>
          <w:insideH w:val="nil"/>
          <w:insideV w:val="nil"/>
          <w:tl2br w:val="nil"/>
          <w:tr2bl w:val="nil"/>
        </w:tcBorders>
      </w:tcPr>
    </w:tblStylePr>
    <w:tblStylePr w:type="band2Horz">
      <w:tblPr/>
      <w:tcPr>
        <w:tcBorders>
          <w:top w:val="nil"/>
          <w:left w:val="nil"/>
          <w:bottom w:val="single" w:sz="4" w:space="0" w:color="000000" w:themeColor="text1"/>
          <w:right w:val="nil"/>
          <w:insideH w:val="nil"/>
          <w:insideV w:val="nil"/>
          <w:tl2br w:val="nil"/>
          <w:tr2bl w:val="nil"/>
        </w:tcBorders>
        <w:shd w:val="clear" w:color="auto" w:fill="F9E2D2" w:themeFill="accent1" w:themeFillTint="33"/>
      </w:tcPr>
    </w:tblStylePr>
  </w:style>
  <w:style w:type="table" w:customStyle="1" w:styleId="TableGridLight2">
    <w:name w:val="Table Grid Light2"/>
    <w:basedOn w:val="TableNormal"/>
    <w:uiPriority w:val="40"/>
    <w:locked/>
    <w:rsid w:val="00372E2B"/>
    <w:pPr>
      <w:spacing w:before="17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0">
    <w:name w:val="Table Grid1"/>
    <w:basedOn w:val="TableNormal"/>
    <w:next w:val="TableGrid"/>
    <w:uiPriority w:val="59"/>
    <w:locked/>
    <w:rsid w:val="00372E2B"/>
    <w:pPr>
      <w:spacing w:before="57" w:after="57"/>
    </w:pPr>
    <w:rPr>
      <w:sz w:val="18"/>
    </w:rPr>
    <w:tblPr>
      <w:tblStyleRowBandSize w:val="1"/>
      <w:tblBorders>
        <w:bottom w:val="single" w:sz="2" w:space="0" w:color="auto"/>
      </w:tblBorders>
    </w:tblPr>
    <w:tblStylePr w:type="firstRow">
      <w:rPr>
        <w:b/>
      </w:rPr>
      <w:tblPr/>
      <w:tcPr>
        <w:tcBorders>
          <w:top w:val="nil"/>
          <w:left w:val="nil"/>
          <w:bottom w:val="single" w:sz="4" w:space="0" w:color="FFFFFF" w:themeColor="background1"/>
          <w:right w:val="nil"/>
          <w:insideH w:val="nil"/>
          <w:insideV w:val="single" w:sz="2" w:space="0" w:color="FFFFFF" w:themeColor="background1"/>
          <w:tl2br w:val="nil"/>
          <w:tr2bl w:val="nil"/>
        </w:tcBorders>
        <w:shd w:val="clear" w:color="auto" w:fill="E6E6E6"/>
        <w:tcMar>
          <w:top w:w="113" w:type="dxa"/>
          <w:left w:w="0" w:type="nil"/>
          <w:bottom w:w="113" w:type="dxa"/>
          <w:right w:w="0" w:type="nil"/>
        </w:tcMar>
      </w:tcPr>
    </w:tblStylePr>
    <w:tblStylePr w:type="lastRow">
      <w:rPr>
        <w:b/>
      </w:rPr>
    </w:tblStylePr>
    <w:tblStylePr w:type="firstCol">
      <w:rPr>
        <w:b/>
      </w:rPr>
    </w:tblStylePr>
    <w:tblStylePr w:type="lastCol">
      <w:pPr>
        <w:jc w:val="right"/>
      </w:pPr>
    </w:tblStylePr>
    <w:tblStylePr w:type="band1Horz">
      <w:tblPr/>
      <w:tcPr>
        <w:tcBorders>
          <w:bottom w:val="single" w:sz="4" w:space="0" w:color="000000" w:themeColor="text1"/>
        </w:tcBorders>
      </w:tcPr>
    </w:tblStylePr>
    <w:tblStylePr w:type="band2Horz">
      <w:tblPr/>
      <w:tcPr>
        <w:tcBorders>
          <w:bottom w:val="single" w:sz="4" w:space="0" w:color="000000" w:themeColor="text1"/>
        </w:tcBorders>
      </w:tcPr>
    </w:tblStylePr>
  </w:style>
  <w:style w:type="numbering" w:customStyle="1" w:styleId="GeneralList">
    <w:name w:val="General List"/>
    <w:uiPriority w:val="99"/>
    <w:rsid w:val="00125C03"/>
    <w:pPr>
      <w:numPr>
        <w:numId w:val="1"/>
      </w:numPr>
    </w:pPr>
  </w:style>
  <w:style w:type="paragraph" w:customStyle="1" w:styleId="Name">
    <w:name w:val="Name"/>
    <w:basedOn w:val="SubTitle"/>
    <w:uiPriority w:val="41"/>
    <w:semiHidden/>
    <w:rsid w:val="00DD1ACD"/>
    <w:pPr>
      <w:framePr w:wrap="auto" w:yAlign="inline"/>
      <w:numPr>
        <w:ilvl w:val="1"/>
      </w:numPr>
      <w:ind w:left="374"/>
      <w:contextualSpacing/>
    </w:pPr>
    <w:rPr>
      <w:iCs/>
    </w:rPr>
  </w:style>
  <w:style w:type="paragraph" w:customStyle="1" w:styleId="Report">
    <w:name w:val="Report"/>
    <w:basedOn w:val="SubTitle"/>
    <w:uiPriority w:val="41"/>
    <w:semiHidden/>
    <w:rsid w:val="00DD1ACD"/>
    <w:pPr>
      <w:framePr w:wrap="auto" w:yAlign="inline"/>
      <w:spacing w:before="120"/>
    </w:pPr>
    <w:rPr>
      <w:sz w:val="32"/>
    </w:rPr>
  </w:style>
  <w:style w:type="paragraph" w:customStyle="1" w:styleId="FirstPageFooter">
    <w:name w:val="First Page Footer"/>
    <w:basedOn w:val="Footer"/>
    <w:uiPriority w:val="42"/>
    <w:semiHidden/>
    <w:rsid w:val="00922F80"/>
    <w:pPr>
      <w:framePr w:wrap="around" w:vAnchor="page" w:hAnchor="page" w:x="852" w:y="16161"/>
      <w:spacing w:line="276" w:lineRule="auto"/>
    </w:pPr>
  </w:style>
  <w:style w:type="paragraph" w:customStyle="1" w:styleId="Division">
    <w:name w:val="Division"/>
    <w:basedOn w:val="SubTitle"/>
    <w:uiPriority w:val="41"/>
    <w:semiHidden/>
    <w:rsid w:val="00922F80"/>
    <w:pPr>
      <w:framePr w:wrap="notBeside"/>
      <w:spacing w:line="276" w:lineRule="auto"/>
    </w:pPr>
    <w:rPr>
      <w:sz w:val="22"/>
    </w:rPr>
  </w:style>
  <w:style w:type="paragraph" w:customStyle="1" w:styleId="School">
    <w:name w:val="School"/>
    <w:basedOn w:val="SubTitle"/>
    <w:uiPriority w:val="41"/>
    <w:semiHidden/>
    <w:rsid w:val="00922F80"/>
    <w:pPr>
      <w:framePr w:wrap="notBeside"/>
      <w:spacing w:before="600" w:line="276" w:lineRule="auto"/>
    </w:pPr>
    <w:rPr>
      <w:sz w:val="22"/>
    </w:rPr>
  </w:style>
  <w:style w:type="paragraph" w:customStyle="1" w:styleId="ShadedEmphasisstyle">
    <w:name w:val="Shaded Emphasis style"/>
    <w:basedOn w:val="Normal"/>
    <w:uiPriority w:val="17"/>
    <w:qFormat/>
    <w:rsid w:val="00796F6B"/>
    <w:pPr>
      <w:pBdr>
        <w:top w:val="single" w:sz="48" w:space="1" w:color="FBBC86"/>
        <w:left w:val="single" w:sz="48" w:space="11" w:color="FBBC86"/>
        <w:bottom w:val="single" w:sz="48" w:space="1" w:color="FBBC86"/>
        <w:right w:val="single" w:sz="48" w:space="11" w:color="FBBC86"/>
      </w:pBdr>
      <w:shd w:val="clear" w:color="auto" w:fill="FBBC86"/>
      <w:ind w:left="357" w:right="357"/>
    </w:pPr>
    <w:rPr>
      <w:i/>
      <w:sz w:val="20"/>
    </w:rPr>
  </w:style>
  <w:style w:type="paragraph" w:customStyle="1" w:styleId="ShadedEmphasisBulletstyle">
    <w:name w:val="Shaded Emphasis Bullet style"/>
    <w:basedOn w:val="ShadedEmphasisstyle"/>
    <w:uiPriority w:val="17"/>
    <w:qFormat/>
    <w:rsid w:val="00796F6B"/>
    <w:pPr>
      <w:numPr>
        <w:numId w:val="32"/>
      </w:numPr>
      <w:tabs>
        <w:tab w:val="clear" w:pos="357"/>
      </w:tabs>
      <w:spacing w:after="60"/>
      <w:ind w:left="714" w:hanging="357"/>
    </w:pPr>
  </w:style>
  <w:style w:type="paragraph" w:customStyle="1" w:styleId="Acknowledgement">
    <w:name w:val="Acknowledgement"/>
    <w:basedOn w:val="Normal"/>
    <w:uiPriority w:val="39"/>
    <w:rsid w:val="00A00A80"/>
    <w:rPr>
      <w:sz w:val="20"/>
    </w:rPr>
  </w:style>
  <w:style w:type="paragraph" w:customStyle="1" w:styleId="Preparedfor">
    <w:name w:val="Prepared for"/>
    <w:basedOn w:val="Normal"/>
    <w:next w:val="Date"/>
    <w:uiPriority w:val="99"/>
    <w:rsid w:val="00CF170B"/>
    <w:pPr>
      <w:numPr>
        <w:numId w:val="0"/>
      </w:numPr>
      <w:spacing w:after="320" w:line="240" w:lineRule="auto"/>
      <w:ind w:left="374"/>
    </w:pPr>
    <w:rPr>
      <w:sz w:val="28"/>
    </w:rPr>
  </w:style>
  <w:style w:type="paragraph" w:customStyle="1" w:styleId="Acknowledgementtext">
    <w:name w:val="Acknowledgement text"/>
    <w:basedOn w:val="Normal"/>
    <w:uiPriority w:val="39"/>
    <w:rsid w:val="007B2CB3"/>
    <w:pPr>
      <w:numPr>
        <w:numId w:val="0"/>
      </w:numPr>
      <w:tabs>
        <w:tab w:val="clear" w:pos="357"/>
        <w:tab w:val="num" w:pos="360"/>
      </w:tabs>
      <w:spacing w:before="120"/>
      <w:ind w:right="3969"/>
    </w:pPr>
    <w:rPr>
      <w:sz w:val="20"/>
    </w:rPr>
  </w:style>
  <w:style w:type="paragraph" w:customStyle="1" w:styleId="AcknowledgementBold">
    <w:name w:val="Acknowledgement Bold"/>
    <w:basedOn w:val="Acknowledgement"/>
    <w:uiPriority w:val="39"/>
    <w:rsid w:val="007B2CB3"/>
    <w:pPr>
      <w:numPr>
        <w:numId w:val="0"/>
      </w:numPr>
      <w:tabs>
        <w:tab w:val="clear" w:pos="357"/>
        <w:tab w:val="num" w:pos="360"/>
      </w:tabs>
      <w:spacing w:before="360"/>
    </w:pPr>
    <w:rPr>
      <w:b/>
      <w:sz w:val="22"/>
    </w:rPr>
  </w:style>
  <w:style w:type="paragraph" w:customStyle="1" w:styleId="AcknowledgementBeforespace">
    <w:name w:val="Acknowledgement Before space"/>
    <w:basedOn w:val="Acknowledgement"/>
    <w:uiPriority w:val="39"/>
    <w:rsid w:val="007B2CB3"/>
    <w:pPr>
      <w:numPr>
        <w:numId w:val="0"/>
      </w:numPr>
      <w:tabs>
        <w:tab w:val="clear" w:pos="357"/>
        <w:tab w:val="num" w:pos="360"/>
      </w:tabs>
      <w:spacing w:before="3960"/>
      <w:ind w:right="5103"/>
    </w:pPr>
    <w:rPr>
      <w:sz w:val="24"/>
    </w:rPr>
  </w:style>
  <w:style w:type="paragraph" w:customStyle="1" w:styleId="FooterOrange">
    <w:name w:val="Footer Orange"/>
    <w:basedOn w:val="Footer"/>
    <w:uiPriority w:val="44"/>
    <w:rsid w:val="000627C1"/>
    <w:rPr>
      <w:noProof/>
      <w:color w:val="E37222" w:themeColor="accent1"/>
    </w:rPr>
  </w:style>
  <w:style w:type="paragraph" w:customStyle="1" w:styleId="Pg">
    <w:name w:val="Pg #"/>
    <w:basedOn w:val="Footer"/>
    <w:uiPriority w:val="99"/>
    <w:rsid w:val="00D83AEB"/>
    <w:pPr>
      <w:framePr w:wrap="around" w:vAnchor="page" w:hAnchor="page" w:x="11341" w:y="16189"/>
    </w:pPr>
    <w:rPr>
      <w:sz w:val="16"/>
    </w:rPr>
  </w:style>
  <w:style w:type="paragraph" w:customStyle="1" w:styleId="Author">
    <w:name w:val="Author"/>
    <w:basedOn w:val="Preparedfor"/>
    <w:uiPriority w:val="99"/>
    <w:qFormat/>
    <w:rsid w:val="00AE00EA"/>
    <w:pPr>
      <w:spacing w:before="120"/>
    </w:pPr>
    <w:rPr>
      <w:sz w:val="24"/>
    </w:rPr>
  </w:style>
  <w:style w:type="table" w:customStyle="1" w:styleId="HiddenTable">
    <w:name w:val="Hidden Table"/>
    <w:basedOn w:val="TableGrid"/>
    <w:uiPriority w:val="99"/>
    <w:rsid w:val="00643E72"/>
    <w:pPr>
      <w:spacing w:before="40" w:after="120"/>
      <w:jc w:val="left"/>
    </w:pPr>
    <w:tblPr>
      <w:tblBorders>
        <w:bottom w:val="none" w:sz="0" w:space="0" w:color="auto"/>
      </w:tblBorders>
    </w:tblPr>
    <w:tcPr>
      <w:shd w:val="clear" w:color="auto" w:fill="auto"/>
    </w:tcPr>
    <w:tblStylePr w:type="firstRow">
      <w:rPr>
        <w:rFonts w:ascii="Arial" w:hAnsi="Arial"/>
        <w:b w:val="0"/>
        <w:color w:val="000000" w:themeColor="text2"/>
        <w:sz w:val="20"/>
      </w:rPr>
      <w:tblPr/>
      <w:trPr>
        <w:tblHeader/>
      </w:trPr>
      <w:tcPr>
        <w:tcBorders>
          <w:top w:val="single" w:sz="4" w:space="0" w:color="E37222" w:themeColor="accent1"/>
          <w:left w:val="nil"/>
          <w:bottom w:val="single" w:sz="4" w:space="0" w:color="E37222" w:themeColor="accent1"/>
          <w:right w:val="nil"/>
          <w:insideH w:val="nil"/>
          <w:insideV w:val="nil"/>
          <w:tl2br w:val="nil"/>
          <w:tr2bl w:val="nil"/>
        </w:tcBorders>
        <w:shd w:val="solid" w:color="FBBC86" w:fill="FBBC86"/>
      </w:tcPr>
    </w:tblStylePr>
    <w:tblStylePr w:type="lastRow">
      <w:rPr>
        <w:rFonts w:ascii="Arial" w:hAnsi="Arial"/>
        <w:b w:val="0"/>
        <w:sz w:val="20"/>
      </w:rPr>
      <w:tblPr/>
      <w:tcPr>
        <w:tcBorders>
          <w:top w:val="nil"/>
          <w:left w:val="nil"/>
          <w:bottom w:val="nil"/>
          <w:right w:val="nil"/>
          <w:insideH w:val="nil"/>
          <w:insideV w:val="nil"/>
          <w:tl2br w:val="nil"/>
          <w:tr2bl w:val="nil"/>
        </w:tcBorders>
        <w:shd w:val="clear" w:color="auto" w:fill="auto"/>
      </w:tcPr>
    </w:tblStylePr>
    <w:tblStylePr w:type="firstCol">
      <w:pPr>
        <w:jc w:val="left"/>
      </w:pPr>
      <w:rPr>
        <w:b w:val="0"/>
      </w:rPr>
    </w:tblStylePr>
    <w:tblStylePr w:type="lastCol">
      <w:pPr>
        <w:wordWrap/>
        <w:jc w:val="left"/>
      </w:pPr>
    </w:tblStylePr>
    <w:tblStylePr w:type="band1Vert">
      <w:tblPr/>
      <w:tcPr>
        <w:shd w:val="clear" w:color="auto" w:fill="F9E2D2" w:themeFill="accent1" w:themeFillTint="33"/>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9E2D2" w:themeFill="accent1" w:themeFillTint="33"/>
      </w:tcPr>
    </w:tblStylePr>
  </w:style>
  <w:style w:type="character" w:styleId="Mention">
    <w:name w:val="Mention"/>
    <w:basedOn w:val="DefaultParagraphFont"/>
    <w:uiPriority w:val="99"/>
    <w:semiHidden/>
    <w:unhideWhenUsed/>
    <w:rsid w:val="006D6DBC"/>
    <w:rPr>
      <w:color w:val="2B579A"/>
      <w:shd w:val="clear" w:color="auto" w:fill="E6E6E6"/>
    </w:rPr>
  </w:style>
  <w:style w:type="table" w:styleId="TableGridLight">
    <w:name w:val="Grid Table Light"/>
    <w:basedOn w:val="TableNormal"/>
    <w:uiPriority w:val="40"/>
    <w:rsid w:val="002E21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1">
    <w:name w:val="Grid Table 3 Accent 1"/>
    <w:basedOn w:val="TableNormal"/>
    <w:uiPriority w:val="48"/>
    <w:rsid w:val="00534A20"/>
    <w:pPr>
      <w:spacing w:after="0" w:line="240" w:lineRule="auto"/>
    </w:pPr>
    <w:tblPr>
      <w:tblStyleRowBandSize w:val="1"/>
      <w:tblStyleColBandSize w:val="1"/>
      <w:tblBorders>
        <w:top w:val="single" w:sz="4" w:space="0" w:color="EEA97A" w:themeColor="accent1" w:themeTint="99"/>
        <w:left w:val="single" w:sz="4" w:space="0" w:color="EEA97A" w:themeColor="accent1" w:themeTint="99"/>
        <w:bottom w:val="single" w:sz="4" w:space="0" w:color="EEA97A" w:themeColor="accent1" w:themeTint="99"/>
        <w:right w:val="single" w:sz="4" w:space="0" w:color="EEA97A" w:themeColor="accent1" w:themeTint="99"/>
        <w:insideH w:val="single" w:sz="4" w:space="0" w:color="EEA97A" w:themeColor="accent1" w:themeTint="99"/>
        <w:insideV w:val="single" w:sz="4" w:space="0" w:color="EEA9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2D2" w:themeFill="accent1" w:themeFillTint="33"/>
      </w:tcPr>
    </w:tblStylePr>
    <w:tblStylePr w:type="band1Horz">
      <w:tblPr/>
      <w:tcPr>
        <w:shd w:val="clear" w:color="auto" w:fill="F9E2D2" w:themeFill="accent1" w:themeFillTint="33"/>
      </w:tcPr>
    </w:tblStylePr>
    <w:tblStylePr w:type="neCell">
      <w:tblPr/>
      <w:tcPr>
        <w:tcBorders>
          <w:bottom w:val="single" w:sz="4" w:space="0" w:color="EEA97A" w:themeColor="accent1" w:themeTint="99"/>
        </w:tcBorders>
      </w:tcPr>
    </w:tblStylePr>
    <w:tblStylePr w:type="nwCell">
      <w:tblPr/>
      <w:tcPr>
        <w:tcBorders>
          <w:bottom w:val="single" w:sz="4" w:space="0" w:color="EEA97A" w:themeColor="accent1" w:themeTint="99"/>
        </w:tcBorders>
      </w:tcPr>
    </w:tblStylePr>
    <w:tblStylePr w:type="seCell">
      <w:tblPr/>
      <w:tcPr>
        <w:tcBorders>
          <w:top w:val="single" w:sz="4" w:space="0" w:color="EEA97A" w:themeColor="accent1" w:themeTint="99"/>
        </w:tcBorders>
      </w:tcPr>
    </w:tblStylePr>
    <w:tblStylePr w:type="swCell">
      <w:tblPr/>
      <w:tcPr>
        <w:tcBorders>
          <w:top w:val="single" w:sz="4" w:space="0" w:color="EEA97A" w:themeColor="accent1" w:themeTint="99"/>
        </w:tcBorders>
      </w:tcPr>
    </w:tblStylePr>
  </w:style>
  <w:style w:type="table" w:styleId="GridTable1Light-Accent6">
    <w:name w:val="Grid Table 1 Light Accent 6"/>
    <w:basedOn w:val="TableNormal"/>
    <w:uiPriority w:val="46"/>
    <w:rsid w:val="00534A20"/>
    <w:pPr>
      <w:spacing w:after="0" w:line="240" w:lineRule="auto"/>
    </w:pPr>
    <w:tblPr>
      <w:tblStyleRowBandSize w:val="1"/>
      <w:tblStyleColBandSize w:val="1"/>
      <w:tblBorders>
        <w:top w:val="single" w:sz="4" w:space="0" w:color="F0AD9D" w:themeColor="accent6" w:themeTint="66"/>
        <w:left w:val="single" w:sz="4" w:space="0" w:color="F0AD9D" w:themeColor="accent6" w:themeTint="66"/>
        <w:bottom w:val="single" w:sz="4" w:space="0" w:color="F0AD9D" w:themeColor="accent6" w:themeTint="66"/>
        <w:right w:val="single" w:sz="4" w:space="0" w:color="F0AD9D" w:themeColor="accent6" w:themeTint="66"/>
        <w:insideH w:val="single" w:sz="4" w:space="0" w:color="F0AD9D" w:themeColor="accent6" w:themeTint="66"/>
        <w:insideV w:val="single" w:sz="4" w:space="0" w:color="F0AD9D" w:themeColor="accent6" w:themeTint="66"/>
      </w:tblBorders>
    </w:tblPr>
    <w:tblStylePr w:type="firstRow">
      <w:rPr>
        <w:b/>
        <w:bCs/>
      </w:rPr>
      <w:tblPr/>
      <w:tcPr>
        <w:tcBorders>
          <w:bottom w:val="single" w:sz="12" w:space="0" w:color="E9856C" w:themeColor="accent6" w:themeTint="99"/>
        </w:tcBorders>
      </w:tcPr>
    </w:tblStylePr>
    <w:tblStylePr w:type="lastRow">
      <w:rPr>
        <w:b/>
        <w:bCs/>
      </w:rPr>
      <w:tblPr/>
      <w:tcPr>
        <w:tcBorders>
          <w:top w:val="double" w:sz="2" w:space="0" w:color="E9856C"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34A20"/>
    <w:pPr>
      <w:spacing w:after="0" w:line="240" w:lineRule="auto"/>
    </w:pPr>
    <w:tblPr>
      <w:tblStyleRowBandSize w:val="1"/>
      <w:tblStyleColBandSize w:val="1"/>
      <w:tblBorders>
        <w:top w:val="single" w:sz="2" w:space="0" w:color="EEA97A" w:themeColor="accent1" w:themeTint="99"/>
        <w:bottom w:val="single" w:sz="2" w:space="0" w:color="EEA97A" w:themeColor="accent1" w:themeTint="99"/>
        <w:insideH w:val="single" w:sz="2" w:space="0" w:color="EEA97A" w:themeColor="accent1" w:themeTint="99"/>
        <w:insideV w:val="single" w:sz="2" w:space="0" w:color="EEA97A" w:themeColor="accent1" w:themeTint="99"/>
      </w:tblBorders>
    </w:tblPr>
    <w:tblStylePr w:type="firstRow">
      <w:rPr>
        <w:b/>
        <w:bCs/>
      </w:rPr>
      <w:tblPr/>
      <w:tcPr>
        <w:tcBorders>
          <w:top w:val="nil"/>
          <w:bottom w:val="single" w:sz="12" w:space="0" w:color="EEA97A" w:themeColor="accent1" w:themeTint="99"/>
          <w:insideH w:val="nil"/>
          <w:insideV w:val="nil"/>
        </w:tcBorders>
        <w:shd w:val="clear" w:color="auto" w:fill="FFFFFF" w:themeFill="background1"/>
      </w:tcPr>
    </w:tblStylePr>
    <w:tblStylePr w:type="lastRow">
      <w:rPr>
        <w:b/>
        <w:bCs/>
      </w:rPr>
      <w:tblPr/>
      <w:tcPr>
        <w:tcBorders>
          <w:top w:val="double" w:sz="2" w:space="0" w:color="EEA9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2D2" w:themeFill="accent1" w:themeFillTint="33"/>
      </w:tcPr>
    </w:tblStylePr>
    <w:tblStylePr w:type="band1Horz">
      <w:tblPr/>
      <w:tcPr>
        <w:shd w:val="clear" w:color="auto" w:fill="F9E2D2" w:themeFill="accent1" w:themeFillTint="33"/>
      </w:tcPr>
    </w:tblStylePr>
  </w:style>
  <w:style w:type="table" w:styleId="GridTable1Light-Accent1">
    <w:name w:val="Grid Table 1 Light Accent 1"/>
    <w:basedOn w:val="TableNormal"/>
    <w:uiPriority w:val="46"/>
    <w:rsid w:val="00534A20"/>
    <w:pPr>
      <w:spacing w:after="0" w:line="240" w:lineRule="auto"/>
    </w:pPr>
    <w:tblPr>
      <w:tblStyleRowBandSize w:val="1"/>
      <w:tblStyleColBandSize w:val="1"/>
      <w:tblBorders>
        <w:top w:val="single" w:sz="4" w:space="0" w:color="F3C6A6" w:themeColor="accent1" w:themeTint="66"/>
        <w:left w:val="single" w:sz="4" w:space="0" w:color="F3C6A6" w:themeColor="accent1" w:themeTint="66"/>
        <w:bottom w:val="single" w:sz="4" w:space="0" w:color="F3C6A6" w:themeColor="accent1" w:themeTint="66"/>
        <w:right w:val="single" w:sz="4" w:space="0" w:color="F3C6A6" w:themeColor="accent1" w:themeTint="66"/>
        <w:insideH w:val="single" w:sz="4" w:space="0" w:color="F3C6A6" w:themeColor="accent1" w:themeTint="66"/>
        <w:insideV w:val="single" w:sz="4" w:space="0" w:color="F3C6A6" w:themeColor="accent1" w:themeTint="66"/>
      </w:tblBorders>
    </w:tblPr>
    <w:tblStylePr w:type="firstRow">
      <w:rPr>
        <w:b/>
        <w:bCs/>
      </w:rPr>
      <w:tblPr/>
      <w:tcPr>
        <w:tcBorders>
          <w:bottom w:val="single" w:sz="12" w:space="0" w:color="EEA97A" w:themeColor="accent1" w:themeTint="99"/>
        </w:tcBorders>
      </w:tcPr>
    </w:tblStylePr>
    <w:tblStylePr w:type="lastRow">
      <w:rPr>
        <w:b/>
        <w:bCs/>
      </w:rPr>
      <w:tblPr/>
      <w:tcPr>
        <w:tcBorders>
          <w:top w:val="double" w:sz="2" w:space="0" w:color="EEA97A"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7230067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dhc.nsw.gov.au/individuals/inclusion_and_participation/supported-decision-making" TargetMode="Externa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sprc.unsw.edu.a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sprc@unsw.edu.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meltzer@unsw.edu.au"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speakupandbesafe.com.au/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SW">
      <a:dk1>
        <a:sysClr val="windowText" lastClr="000000"/>
      </a:dk1>
      <a:lt1>
        <a:sysClr val="window" lastClr="FFFFFF"/>
      </a:lt1>
      <a:dk2>
        <a:srgbClr val="000000"/>
      </a:dk2>
      <a:lt2>
        <a:srgbClr val="F8F8F8"/>
      </a:lt2>
      <a:accent1>
        <a:srgbClr val="E37222"/>
      </a:accent1>
      <a:accent2>
        <a:srgbClr val="1F5D9E"/>
      </a:accent2>
      <a:accent3>
        <a:srgbClr val="7BC7BA"/>
      </a:accent3>
      <a:accent4>
        <a:srgbClr val="FFD401"/>
      </a:accent4>
      <a:accent5>
        <a:srgbClr val="039E9A"/>
      </a:accent5>
      <a:accent6>
        <a:srgbClr val="C7411E"/>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onLoad="modRibbonControl.RibbonOnLoad">
  <!-- **************************************************************************-->
  <!-- ****Disable 'Exit Excel' and 'Excel Options' on the Office Button menu****-->
  <!-- *************************************************************************-->
  <commands>
    <command idMso="FileSave" enabled="false"/>
    <command idMso="FileSaveAsMenu" enabled="false"/>
    <command idMso="FileSaveAsWordDocx" enabled="false"/>
    <command idMso="FileSaveAsWordDotx" enabled="false"/>
    <command idMso="FileSaveAs" enabled="false"/>
    <command idMso="FileSaveAsWord97_2003" enabled="false"/>
  </commands>
  <!-- *******************************************************************-->
  <!-- *****Set startFromScratch to true to hide the Ribbon and QAT*******-->
  <!-- ********Hide New, Open and Save on the Office Button menu**********-->
  <!-- **************Hide Contextual tabs on the Ribbon*******************-->
  <!-- *******************************************************************-->
  <!-- Set startFromScratch to true to hide the Ribbon and QAT-->
  <ribbon startFromScratch="false">
    <!-- startFromScratch="true" hides all of the Ribbon tabs and it hide the QAT.   
	It also hides most of the commands on the Office Button menu, but for       
	some reason, it does not hide the 'New', 'Open' and 'Save' commands.        
	Also it not hides the Contextual tabs on the ribbon, for example the        
	Format tab that you see when you select a picture on your worksheet.        
	So if you want to hide them you must use the RibbonX below:                 -->
    <!-- 
	<officeMenu>
		<button idMso="FileNew" visible="false"/>
		<button idMso="FileOpen" visible="false"/>
		<button idMso="FileSave" visible="false" />
	</officeMenu>
	<contextualTabs>
		<tabSet idMso="TabSetSmartArtTools" visible="false" />
		<tabSet idMso="TabSetChartTools" visible="false" />
		<tabSet idMso="TabSetDrawingTools" visible="false" />
		<tabSet idMso="TabSetPictureTools" visible="false" />
		<tabSet idMso="TabSetPivotTableTools" visible="false" />
		<tabSet idMso="TabSetHeaderAndFooterTools" visible="false" />
		<tabSet idMso="TabSetTableToolsExcel" visible="false" />
		<tabSet idMso="TabSetPivotChartTools" visible="false" />
		<tabSet idMso="TabSetInkTools" visible="false" />
	</contextualTabs>
-->
    <!-- Create a custom tab for every original tab on the Ribbon with the same name.       -->
    <!-- Add every origenal group to this custom tabs to duplicate the original tabs.       -->
    <!-- We can now use getVisible to hide/display the tabs with a VBA macro.               -->
    <!-- Note: Normal getVisible is not working for specific built-in tabs/groups/controls.  -->
    <tabs>
      <!--
      <tab id="MyCustomHomeTab" label="Home" insertAfterMso="TabHome" getVisible="GetVisible" tag="ribhome">
		<group idMso="GroupClipboard" />
		<group idMso="GroupFont" />
		<group idMso="GroupAlignmentExcel" />
		<group idMso="GroupNumber" />
		<group idMso="GroupStyles" />
		<group idMso="GroupCells" />
		<group idMso="GroupEditingExcel" />
	</tab>
      <tab id="MyCustomInsertTab" label="Insert" insertAfterMso="TabInsert" getVisible="GetVisible" tag="ribinsert">
		<group idMso="GroupInsertTablesExcel" />
		<group idMso="GroupInsertIllustrations" />
		<group idMso="GroupInsertChartsExcel" />
		<group idMso="GroupInsertLinks" />
		<group idMso="GroupInsertText" />
	</tab>
      <tab id="MyCustomPageLayoutTab" label="Page Layout" insertAfterMso="TabPageLayoutExcel" getVisible="GetVisible" tag="ribpagelayout">
		<group idMso="GroupThemesExcel" />
		<group idMso="GroupPageSetup" />
		<group idMso="GroupPageLayoutScaleToFit" />
		<group idMso="GroupPageLayoutSheetOptions" />
		<group idMso="GroupArrange" />
	</tab>
      <tab id="MyCustomFormulasTab" label="Formulas" insertAfterMso="TabFormulas" getVisible="GetVisible" tag="ribformulas">
		<group idMso="GroupFunctionLibrary" />
		<group idMso="GroupNamedCells" />
		<group idMso="GroupFormulaAuditing" />
		<group idMso="GroupCalculation" />
	</tab>
      <tab id="MyCustomDataTab" label="Data" insertAfterMso="TabData" getVisible="GetVisible" tag="ribdata">
		<group idMso="GroupGetExternalData" />
		<group idMso="GroupConnections" />
		<group idMso="GroupSortFilter" />
		<group idMso="GroupDataTools" />
		<group idMso="GroupOutline" />
	</tab>
      <tab id="MyCustomReviewTab" label="Review" insertAfterMso="TabReview" getVisible="GetVisible" tag="ribreview">
		<group idMso="GroupProofing" />
		<group idMso="GroupComments" />
		<group idMso="GroupChangesExcel" />
	</tab>
      <tab id="MyCustomViewTab" label="View" insertAfterMso="TabView" getVisible="GetVisible" tag="ribview">
		<group idMso="GroupWorkbookViews" />
		<group idMso="GroupViewShowHide" />
		<group idMso="GroupZoom" />
		<group idMso="GroupWindow" />
		<group idMso="GroupMacros" />
	</tab>
      <tab id="MyCustomDeveloperTab" label="Developer" insertAfterMso="TabDeveloper" getVisible="GetVisible" tag="ribdeveloper">
		<group idMso="GroupCode" />
		<group idMso="GroupControls" />
		<group idMso="GroupXml" />
		<group idMso="GroupModify" />
	</tab>
-->
      <tab id="MyCustomTab1" label="CUSTOM FORMATTING" insertBeforeMso="TabHome">
        <group id="MyCustomGroup0" label="Save" tag="MyGroup2">
          <button id="cmnuSave" label="Save" size="large" onAction="RunSave" imageMso="SaveItem"/>
          <button id="cmnuSaveAs" label="Save As" size="large" onAction="RunSaveAs" imageMso="SaveObjectAs"/>
        </group>
        <group id="MyCustomGroup01" label="Insert" tag="MyGroup2">
          <button id="cmnuInsertLS" label="Landscape Page" size="large" onAction="RunLandscape" imageMso="PageOrientation"/>
        </group>
        <group id="MyCustomGroup1" label="Paragraph" tag="MyGroup2">
          <button id="Menu1" label="Left" size="large" onAction="AlignText" tag="1" imageMso="AlignLeft"/>
          <button id="Menu2" label="Right" size="large" onAction="AlignText" tag="2" imageMso="AlignRight"/>
          <button id="Menu3" label="Centre" size="large" onAction="AlignText" tag="3" imageMso="AlignCenter"/>
          <button id="Menu4" label="Justify" size="large" onAction="AlignText" tag="4" imageMso="AlignJustify"/>
          <button id="Menu5" label="Indent" size="large" onAction="AlignText" tag="5" imageMso="IndentIncrease"/>
          <button id="Menu6" label="Outdent" size="large" onAction="AlignText" tag="6" imageMso="IndentDecrease"/>
        </group>
        <group id="MyCustomGroup2" label="Font" tag="MyGroup2">
          <button id="Menu20" label="Bold" size="normal" onAction="RunFont" tag="1" imageMso="Bold"/>
          <button id="Menu21" label="Italic " size="normal" onAction="RunFont" tag="2" imageMso="Italic"/>
          <button id="Menu22" label="Underline" size="normal" onAction="RunFont" tag="3" imageMso="Underline"/>
          <button id="Menu23" label="Strikethrough" size="normal" onAction="RunFont" tag="4" imageMso="Strikethrough"/>
          <button id="Menu24" label="Subscript" size="normal" onAction="RunFont" tag="5" imageMso="Subscript"/>
          <button id="Menu25" label="Superscript" size="normal" onAction="RunFont" tag="6" imageMso="Superscript"/>
          <button id="Menu28" label="Grow" size="normal" onAction="RunFont" tag="9" imageMso="FontSizeIncrease"/>
          <button id="Menu29" label="Shrink" size="normal" onAction="RunFont" tag="10" imageMso="FontSizeDecrease"/>
          <editBox id="MyEditBox1" getText="EditBoxCallbackgetText" label="Font Size" onChange="RunFontSize"/>
          <separator id="MySeparator1"/>
          <button id="Menu26" size="normal" label="Text Highlight Colour" onAction="RunFont" tag="7" imageMso="TextHighlightColorPicker"/>
          <button id="Menu27" size="normal" label="Shading Colour" onAction="RunFont" tag="8" imageMso="ShadingPicker"/>
          <button id="Menu30" size="normal" label="Font Colour" onAction="RunFont" tag="11" imageMso="FontProperties"/>
          <button id="Menu44" size="normal" label="Clear All Formatting" onAction="RunFont" tag="12" imageMso="ClearAllFormatting"/>
          <menu id="MyDropdownMenu1" label="Change Case" size="normal" imageMso="ChangeCase">
            <button id="customButton20" label="Sentence Case" onAction="ChangeCase" tag="1"/>
            <button id="customButton21" label="lower case" onAction="ChangeCase" tag="2"/>
            <button id="customButton22" label="UPPER CASE" onAction="ChangeCase" tag="3"/>
            <button id="customButton23" label="Capitalise Each Word" onAction="ChangeCase" tag="4"/>
            <button id="customButton24" label="tOGGLE cASE" onAction="ChangeCase" tag="5"/>
          </menu>
          <menu id="MyDropdownMenu3" label="Line Spacing" size="normal" imageMso="LineSpacing">
            <button id="customButton1" label="1.0" onAction="LineSpacing" tag="1"/>
            <button id="customButton2" label="1.15" onAction="LineSpacing" tag="1.15"/>
            <button id="customButton3" label="1.5" onAction="LineSpacing" tag="1.5"/>
            <button id="customButton4" label="2.0" onAction="LineSpacing" tag="2"/>
            <button id="customButton5" label="2.5" onAction="LineSpacing" tag="2.5"/>
            <button id="customButton6" label="3.0" onAction="LineSpacing" tag="3"/>
            <button id="customButton6A" label="Line Spacing Options..." onAction="LineSpacing" tag="Dialog"/>
          </menu>
          <menu id="MyDropdownMenu2" label="Borders" size="large" imageMso="BorderNone">
            <button id="customButton8" label="Bottom Border" onAction="RunBorders" tag="1" imageMso="BorderBottom"/>
            <button id="customButton9" label="Top Border" onAction="RunBorders" tag="2" imageMso="BorderTop"/>
            <button id="customButton10" label="Left Border" onAction="RunBorders" tag="3" imageMso="BorderLeft"/>
            <button id="customButton11" label="Right Border" onAction="RunBorders" tag="4" imageMso="BorderRight"/>
            <menuSeparator id="separator1"/>
            <button id="customButton12" label="No Borders" onAction="RunBorders" tag="5" imageMso="BorderNone"/>
            <button id="customButton13" label="All Borders" onAction="RunBorders" tag="6" imageMso="BordersAll"/>
            <button id="customButton14" label="Outside Borders" onAction="RunBorders" tag="7" imageMso="BorderOutside"/>
            <button id="customButton15" label="Inside Borders" onAction="RunBorders" tag="8" imageMso="BorderInside"/>
            <menuSeparator id="separator2"/>
            <button id="customButton16" label="Inside Horizontal Border" onAction="RunBorders" tag="9" imageMso="BorderInsideHorizontal"/>
            <button id="customButton17" label="Inside Vertical Border" onAction="RunBorders" tag="10" imageMso="BorderInsideVertical"/>
            <button id="customButton18" label="Diagonal Down Border" onAction="RunBorders" tag="11" imageMso="BorderDiagonalDown"/>
            <button id="customButton19" label="Diagonal Up Border" onAction="RunBorders" tag="12" imageMso="BorderDiagonalUp"/>
          </menu>
        </group>
        <group id="MyCustomGroup4" label=" " tag="MyGroup3">
          <button id="customButton25" label="Table Alt Text" size="large" onAction="ShowTableAltText" imageMso="ActiveXTextBox"/>
        </group>
        <group idMso="GroupStyles"/>
      </tab>
      <!--
	<tab id="MyCustomTab2" label="Dave" insertAfterMso="TabHome" getVisible="GetVisible" tag="Xdave">
        <group id="customGroup2" label="Dave's Group">
          <button id="customButton4" label="Caption 4" size="normal" onAction="Macro4" imageMso="TextAlignGallery" />
          <button id="customButton5" label="Caption 5" size="normal" onAction="Macro5" imageMso="PrintPreviewClose" />
          <button id="customButton6" label="Caption 6" size="normal" onAction="Macro6" imageMso="PrintPreviewShrinkOnePage" />
          <separator id="MySeparator1" />		
          <button id="customButton7" label="Caption 7" size="large" onAction="Macro7" imageMso="ReviewPreviousComment" />
        </group>
     </tab>
	<tab id="MyCustomTab3" label="Special" insertAfterMso="TabHome" getVisible="GetVisible" tag="special">
        <group id="customGroup3" label="Special Group">
          <menu id="MyDropdownMenu" label="My Menu" size="large" imageMso="TextAlignGallery"  >
            <button id="customButton8" label="Caption 8"  onAction="Macro8" imageMso="TextAlignGallery" />
            <button id="customButton9" label="Caption 9"  onAction="Macro9" imageMso="TextAlignGallery" />
            <button id="customButton10" label="Caption 10"  onAction="Macro10" imageMso="TextAlignGallery" />
            <button id="customButton11" label="Caption 11"  onAction="Macro11" imageMso="TextAlignGallery" />
            <button id="customButton12" label="Caption 12"  onAction="Macro12" imageMso="TextAlignGallery" />
          </menu>
        </group>
      </tab>
-->
    </tabs>
  </ribbon>
  <backstage>
    <button idMso="FileSave" visible="false"/>
    <button idMso="FileSaveAs" visible="false"/>
    <tab idMso="TabSave" visible="false"/>
  </backstage>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EC6DB-B088-4A4B-B442-9E5D9E40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23242</Words>
  <Characters>132485</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Literature and practice review</vt:lpstr>
    </vt:vector>
  </TitlesOfParts>
  <Company>University of New South Wales</Company>
  <LinksUpToDate>false</LinksUpToDate>
  <CharactersWithSpaces>155417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and practice review</dc:title>
  <dc:creator>Edyta Szubert</dc:creator>
  <cp:lastModifiedBy>Vernon Ho Ming Fu</cp:lastModifiedBy>
  <cp:revision>2</cp:revision>
  <cp:lastPrinted>2017-04-21T01:49:00Z</cp:lastPrinted>
  <dcterms:created xsi:type="dcterms:W3CDTF">2022-03-21T01:41:00Z</dcterms:created>
  <dcterms:modified xsi:type="dcterms:W3CDTF">2022-03-21T01:41:00Z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Template">
    <vt:lpwstr/>
  </property>
  <property fmtid="{D5CDD505-2E9C-101B-9397-08002B2CF9AE}" pid="3" name="UseTemplate">
    <vt:lpwstr/>
  </property>
</Properties>
</file>