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685A" w14:textId="77777777" w:rsidR="00AE3139" w:rsidRDefault="00AE3139" w:rsidP="00AE3139">
      <w:pPr>
        <w:spacing w:before="100" w:beforeAutospacing="1" w:after="100" w:afterAutospacing="1" w:line="240" w:lineRule="auto"/>
        <w:outlineLvl w:val="1"/>
        <w:rPr>
          <w:rFonts w:ascii="Arial" w:eastAsia="Times New Roman" w:hAnsi="Arial" w:cs="Arial"/>
          <w:b/>
          <w:bCs/>
          <w:color w:val="0070C0"/>
          <w:sz w:val="24"/>
          <w:szCs w:val="24"/>
          <w:lang w:eastAsia="en-AU"/>
        </w:rPr>
      </w:pPr>
      <w:r w:rsidRPr="005277FA">
        <w:rPr>
          <w:rFonts w:ascii="Arial" w:eastAsia="Times New Roman" w:hAnsi="Arial" w:cs="Arial"/>
          <w:b/>
          <w:bCs/>
          <w:color w:val="0070C0"/>
          <w:sz w:val="24"/>
          <w:szCs w:val="24"/>
          <w:lang w:eastAsia="en-AU"/>
        </w:rPr>
        <w:t xml:space="preserve">Abstract Example 1 </w:t>
      </w:r>
      <w:r>
        <w:rPr>
          <w:rFonts w:ascii="Arial" w:eastAsia="Times New Roman" w:hAnsi="Arial" w:cs="Arial"/>
          <w:b/>
          <w:bCs/>
          <w:color w:val="0070C0"/>
          <w:sz w:val="24"/>
          <w:szCs w:val="24"/>
          <w:lang w:eastAsia="en-AU"/>
        </w:rPr>
        <w:t>–</w:t>
      </w:r>
      <w:r w:rsidRPr="005277FA">
        <w:rPr>
          <w:rFonts w:ascii="Arial" w:eastAsia="Times New Roman" w:hAnsi="Arial" w:cs="Arial"/>
          <w:b/>
          <w:bCs/>
          <w:color w:val="0070C0"/>
          <w:sz w:val="24"/>
          <w:szCs w:val="24"/>
          <w:lang w:eastAsia="en-AU"/>
        </w:rPr>
        <w:t xml:space="preserve"> Research</w:t>
      </w:r>
    </w:p>
    <w:p w14:paraId="38410CED" w14:textId="77777777" w:rsidR="00AE3139" w:rsidRPr="00587B0F" w:rsidRDefault="00AE3139" w:rsidP="00AE3139">
      <w:pPr>
        <w:spacing w:before="100" w:beforeAutospacing="1" w:after="100" w:afterAutospacing="1" w:line="240" w:lineRule="auto"/>
        <w:outlineLvl w:val="1"/>
        <w:rPr>
          <w:rFonts w:ascii="Arial" w:eastAsia="Times New Roman" w:hAnsi="Arial" w:cs="Arial"/>
          <w:color w:val="0070C0"/>
          <w:sz w:val="24"/>
          <w:szCs w:val="24"/>
          <w:lang w:eastAsia="en-AU"/>
        </w:rPr>
      </w:pPr>
      <w:r>
        <w:rPr>
          <w:rFonts w:ascii="Arial" w:eastAsia="Times New Roman" w:hAnsi="Arial" w:cs="Arial"/>
          <w:color w:val="0070C0"/>
          <w:sz w:val="24"/>
          <w:szCs w:val="24"/>
          <w:lang w:eastAsia="en-AU"/>
        </w:rPr>
        <w:t>We provide the following as guidance for writing your abstract. The headings we provide are suggestions only.</w:t>
      </w:r>
    </w:p>
    <w:p w14:paraId="3299BDD6" w14:textId="77777777" w:rsidR="00AE3139" w:rsidRPr="005277FA" w:rsidRDefault="00AE3139" w:rsidP="00AE3139">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Pr>
          <w:rFonts w:ascii="Arial" w:eastAsia="Times New Roman" w:hAnsi="Arial" w:cs="Arial"/>
          <w:b/>
          <w:bCs/>
          <w:color w:val="0070C0"/>
          <w:sz w:val="24"/>
          <w:szCs w:val="24"/>
          <w:lang w:eastAsia="en-AU"/>
        </w:rPr>
        <w:t>Background/</w:t>
      </w:r>
      <w:r w:rsidRPr="005277FA">
        <w:rPr>
          <w:rFonts w:ascii="Arial" w:eastAsia="Times New Roman" w:hAnsi="Arial" w:cs="Arial"/>
          <w:b/>
          <w:bCs/>
          <w:color w:val="0070C0"/>
          <w:sz w:val="24"/>
          <w:szCs w:val="24"/>
          <w:lang w:eastAsia="en-AU"/>
        </w:rPr>
        <w:t>Introduction:</w:t>
      </w:r>
      <w:r w:rsidRPr="005277FA">
        <w:rPr>
          <w:rFonts w:ascii="Arial" w:eastAsia="Times New Roman" w:hAnsi="Arial" w:cs="Arial"/>
          <w:color w:val="0070C0"/>
          <w:sz w:val="24"/>
          <w:szCs w:val="24"/>
          <w:lang w:eastAsia="en-AU"/>
        </w:rPr>
        <w:t xml:space="preserve"> Why do we care about the problem? What practical, or theoretical gap is your research filling? </w:t>
      </w:r>
    </w:p>
    <w:p w14:paraId="4F147722" w14:textId="77777777" w:rsidR="00AE3139" w:rsidRPr="005277FA" w:rsidRDefault="00AE3139" w:rsidP="00AE3139">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sidRPr="005277FA">
        <w:rPr>
          <w:rFonts w:ascii="Arial" w:eastAsia="Times New Roman" w:hAnsi="Arial" w:cs="Arial"/>
          <w:b/>
          <w:bCs/>
          <w:color w:val="0070C0"/>
          <w:sz w:val="24"/>
          <w:szCs w:val="24"/>
          <w:lang w:eastAsia="en-AU"/>
        </w:rPr>
        <w:t>Methods/Approach:</w:t>
      </w:r>
      <w:r w:rsidRPr="005277FA">
        <w:rPr>
          <w:rFonts w:ascii="Arial" w:eastAsia="Times New Roman" w:hAnsi="Arial" w:cs="Arial"/>
          <w:color w:val="0070C0"/>
          <w:sz w:val="24"/>
          <w:szCs w:val="24"/>
          <w:lang w:eastAsia="en-AU"/>
        </w:rPr>
        <w:t xml:space="preserve"> What did you </w:t>
      </w:r>
      <w:proofErr w:type="gramStart"/>
      <w:r w:rsidRPr="005277FA">
        <w:rPr>
          <w:rFonts w:ascii="Arial" w:eastAsia="Times New Roman" w:hAnsi="Arial" w:cs="Arial"/>
          <w:color w:val="0070C0"/>
          <w:sz w:val="24"/>
          <w:szCs w:val="24"/>
          <w:lang w:eastAsia="en-AU"/>
        </w:rPr>
        <w:t>actually do</w:t>
      </w:r>
      <w:proofErr w:type="gramEnd"/>
      <w:r w:rsidRPr="005277FA">
        <w:rPr>
          <w:rFonts w:ascii="Arial" w:eastAsia="Times New Roman" w:hAnsi="Arial" w:cs="Arial"/>
          <w:color w:val="0070C0"/>
          <w:sz w:val="24"/>
          <w:szCs w:val="24"/>
          <w:lang w:eastAsia="en-AU"/>
        </w:rPr>
        <w:t xml:space="preserve"> to get your results? (e.g. analysed three policies, interviewed 17 students, surveyed 300 health professionals) </w:t>
      </w:r>
    </w:p>
    <w:p w14:paraId="5F2B3CA0" w14:textId="77777777" w:rsidR="00AE3139" w:rsidRPr="005277FA" w:rsidRDefault="00AE3139" w:rsidP="00AE3139">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sidRPr="005277FA">
        <w:rPr>
          <w:rFonts w:ascii="Arial" w:eastAsia="Times New Roman" w:hAnsi="Arial" w:cs="Arial"/>
          <w:b/>
          <w:bCs/>
          <w:color w:val="0070C0"/>
          <w:sz w:val="24"/>
          <w:szCs w:val="24"/>
          <w:lang w:eastAsia="en-AU"/>
        </w:rPr>
        <w:t>Findings</w:t>
      </w:r>
      <w:r>
        <w:rPr>
          <w:rFonts w:ascii="Arial" w:eastAsia="Times New Roman" w:hAnsi="Arial" w:cs="Arial"/>
          <w:b/>
          <w:bCs/>
          <w:color w:val="0070C0"/>
          <w:sz w:val="24"/>
          <w:szCs w:val="24"/>
          <w:lang w:eastAsia="en-AU"/>
        </w:rPr>
        <w:t>/Results</w:t>
      </w:r>
      <w:r w:rsidRPr="005277FA">
        <w:rPr>
          <w:rFonts w:ascii="Arial" w:eastAsia="Times New Roman" w:hAnsi="Arial" w:cs="Arial"/>
          <w:b/>
          <w:bCs/>
          <w:color w:val="0070C0"/>
          <w:sz w:val="24"/>
          <w:szCs w:val="24"/>
          <w:lang w:eastAsia="en-AU"/>
        </w:rPr>
        <w:t>:</w:t>
      </w:r>
      <w:r w:rsidRPr="005277FA">
        <w:rPr>
          <w:rFonts w:ascii="Arial" w:eastAsia="Times New Roman" w:hAnsi="Arial" w:cs="Arial"/>
          <w:color w:val="0070C0"/>
          <w:sz w:val="24"/>
          <w:szCs w:val="24"/>
          <w:lang w:eastAsia="en-AU"/>
        </w:rPr>
        <w:t xml:space="preserve"> As a result of completing the above procedure, what did you learn? Please specify your main findings. </w:t>
      </w:r>
    </w:p>
    <w:p w14:paraId="18C1A7D6" w14:textId="77777777" w:rsidR="00AE3139" w:rsidRPr="005277FA" w:rsidRDefault="00AE3139" w:rsidP="00AE3139">
      <w:pPr>
        <w:numPr>
          <w:ilvl w:val="0"/>
          <w:numId w:val="2"/>
        </w:numPr>
        <w:spacing w:before="100" w:beforeAutospacing="1" w:after="100" w:afterAutospacing="1" w:line="240" w:lineRule="auto"/>
        <w:rPr>
          <w:rFonts w:ascii="Arial" w:eastAsia="Times New Roman" w:hAnsi="Arial" w:cs="Arial"/>
          <w:color w:val="0070C0"/>
          <w:sz w:val="24"/>
          <w:szCs w:val="24"/>
          <w:lang w:eastAsia="en-AU"/>
        </w:rPr>
      </w:pPr>
      <w:r w:rsidRPr="005277FA">
        <w:rPr>
          <w:rFonts w:ascii="Arial" w:eastAsia="Times New Roman" w:hAnsi="Arial" w:cs="Arial"/>
          <w:b/>
          <w:bCs/>
          <w:color w:val="0070C0"/>
          <w:sz w:val="24"/>
          <w:szCs w:val="24"/>
          <w:lang w:eastAsia="en-AU"/>
        </w:rPr>
        <w:t>Implications</w:t>
      </w:r>
      <w:r>
        <w:rPr>
          <w:rFonts w:ascii="Arial" w:eastAsia="Times New Roman" w:hAnsi="Arial" w:cs="Arial"/>
          <w:b/>
          <w:bCs/>
          <w:color w:val="0070C0"/>
          <w:sz w:val="24"/>
          <w:szCs w:val="24"/>
          <w:lang w:eastAsia="en-AU"/>
        </w:rPr>
        <w:t>/Conclusion</w:t>
      </w:r>
      <w:r w:rsidRPr="005277FA">
        <w:rPr>
          <w:rFonts w:ascii="Arial" w:eastAsia="Times New Roman" w:hAnsi="Arial" w:cs="Arial"/>
          <w:b/>
          <w:bCs/>
          <w:color w:val="0070C0"/>
          <w:sz w:val="24"/>
          <w:szCs w:val="24"/>
          <w:lang w:eastAsia="en-AU"/>
        </w:rPr>
        <w:t xml:space="preserve">: </w:t>
      </w:r>
      <w:r w:rsidRPr="005277FA">
        <w:rPr>
          <w:rFonts w:ascii="Arial" w:eastAsia="Times New Roman" w:hAnsi="Arial" w:cs="Arial"/>
          <w:color w:val="0070C0"/>
          <w:sz w:val="24"/>
          <w:szCs w:val="24"/>
          <w:lang w:eastAsia="en-AU"/>
        </w:rPr>
        <w:t xml:space="preserve">What are the larger implications of your findings, especially for the problem/gap identified in step 1? </w:t>
      </w:r>
    </w:p>
    <w:p w14:paraId="58506AD2" w14:textId="77777777" w:rsidR="00AE3139" w:rsidRDefault="00AE3139" w:rsidP="00AE3139">
      <w:pPr>
        <w:spacing w:before="100" w:beforeAutospacing="1" w:after="100" w:afterAutospacing="1" w:line="240" w:lineRule="auto"/>
        <w:outlineLvl w:val="2"/>
        <w:rPr>
          <w:rFonts w:ascii="Arial" w:eastAsia="Times New Roman" w:hAnsi="Arial" w:cs="Arial"/>
          <w:b/>
          <w:bCs/>
          <w:color w:val="0070C0"/>
          <w:sz w:val="24"/>
          <w:szCs w:val="24"/>
          <w:lang w:eastAsia="en-AU"/>
        </w:rPr>
      </w:pPr>
      <w:r w:rsidRPr="005277FA">
        <w:rPr>
          <w:rFonts w:ascii="Arial" w:eastAsia="Times New Roman" w:hAnsi="Arial" w:cs="Arial"/>
          <w:b/>
          <w:bCs/>
          <w:color w:val="0070C0"/>
          <w:sz w:val="24"/>
          <w:szCs w:val="24"/>
          <w:lang w:eastAsia="en-AU"/>
        </w:rPr>
        <w:t>An example of this type of abstract:</w:t>
      </w:r>
    </w:p>
    <w:p w14:paraId="3D932D5F" w14:textId="77777777" w:rsidR="00AE3139" w:rsidRPr="005277FA" w:rsidRDefault="00AE3139" w:rsidP="00AE3139">
      <w:pPr>
        <w:spacing w:before="100" w:beforeAutospacing="1" w:after="100" w:afterAutospacing="1" w:line="240" w:lineRule="auto"/>
        <w:outlineLvl w:val="2"/>
        <w:rPr>
          <w:rFonts w:ascii="Arial" w:eastAsia="Times New Roman" w:hAnsi="Arial" w:cs="Arial"/>
          <w:b/>
          <w:bCs/>
          <w:color w:val="0070C0"/>
          <w:sz w:val="24"/>
          <w:szCs w:val="24"/>
          <w:lang w:eastAsia="en-AU"/>
        </w:rPr>
      </w:pPr>
    </w:p>
    <w:p w14:paraId="54D9E3CA" w14:textId="242A12D4" w:rsidR="00383CC6" w:rsidRPr="00383CC6" w:rsidRDefault="00AE3139" w:rsidP="00473086">
      <w:pPr>
        <w:spacing w:after="0" w:line="240" w:lineRule="auto"/>
        <w:rPr>
          <w:rFonts w:ascii="Arial" w:hAnsi="Arial" w:cs="Arial"/>
          <w:b/>
          <w:bCs/>
          <w:sz w:val="24"/>
          <w:szCs w:val="24"/>
        </w:rPr>
      </w:pPr>
      <w:r w:rsidRPr="00AE3139">
        <w:rPr>
          <w:rFonts w:ascii="Arial" w:hAnsi="Arial" w:cs="Arial"/>
          <w:b/>
          <w:bCs/>
          <w:sz w:val="24"/>
          <w:szCs w:val="24"/>
        </w:rPr>
        <w:t>“It was just the most horrible experience of my life” Understanding social and care experiences during and after mpox illness: Qualitative accounts of people diagnosed and close contacts in Australia</w:t>
      </w:r>
    </w:p>
    <w:p w14:paraId="3AEF6444" w14:textId="77777777" w:rsidR="00383CC6" w:rsidRDefault="00383CC6" w:rsidP="00473086">
      <w:pPr>
        <w:spacing w:after="0" w:line="240" w:lineRule="auto"/>
        <w:rPr>
          <w:rFonts w:ascii="Arial" w:hAnsi="Arial" w:cs="Arial"/>
          <w:sz w:val="24"/>
          <w:szCs w:val="24"/>
        </w:rPr>
      </w:pPr>
    </w:p>
    <w:p w14:paraId="725B1C9F" w14:textId="4D0E7C1E" w:rsidR="00383CC6" w:rsidRDefault="00383CC6" w:rsidP="00473086">
      <w:pPr>
        <w:spacing w:after="0" w:line="240" w:lineRule="auto"/>
        <w:rPr>
          <w:rFonts w:ascii="Arial" w:hAnsi="Arial" w:cs="Arial"/>
          <w:sz w:val="24"/>
          <w:szCs w:val="24"/>
        </w:rPr>
      </w:pPr>
      <w:r>
        <w:rPr>
          <w:rFonts w:ascii="Arial" w:hAnsi="Arial" w:cs="Arial"/>
          <w:b/>
          <w:bCs/>
          <w:sz w:val="24"/>
          <w:szCs w:val="24"/>
        </w:rPr>
        <w:t>Authors:</w:t>
      </w:r>
    </w:p>
    <w:p w14:paraId="5BEF8FF0" w14:textId="77777777" w:rsidR="00AE3139" w:rsidRPr="003402A7" w:rsidRDefault="00AE3139" w:rsidP="00AE3139">
      <w:pPr>
        <w:spacing w:after="0" w:line="240" w:lineRule="auto"/>
        <w:rPr>
          <w:rFonts w:ascii="Arial" w:eastAsia="Arial" w:hAnsi="Arial" w:cs="Arial"/>
          <w:kern w:val="0"/>
          <w:sz w:val="24"/>
          <w:szCs w:val="24"/>
          <w:lang w:val="en-US" w:bidi="en-US"/>
          <w14:ligatures w14:val="none"/>
        </w:rPr>
      </w:pPr>
      <w:r>
        <w:rPr>
          <w:rFonts w:ascii="Arial" w:eastAsia="Arial" w:hAnsi="Arial" w:cs="Arial"/>
          <w:kern w:val="0"/>
          <w:sz w:val="24"/>
          <w:szCs w:val="24"/>
          <w:u w:val="single"/>
          <w:lang w:val="en-US" w:bidi="en-US"/>
          <w14:ligatures w14:val="none"/>
        </w:rPr>
        <w:t xml:space="preserve">Anthony K J </w:t>
      </w:r>
      <w:r w:rsidRPr="003402A7">
        <w:rPr>
          <w:rFonts w:ascii="Arial" w:eastAsia="Arial" w:hAnsi="Arial" w:cs="Arial"/>
          <w:kern w:val="0"/>
          <w:sz w:val="24"/>
          <w:szCs w:val="24"/>
          <w:u w:val="single"/>
          <w:lang w:val="en-US" w:bidi="en-US"/>
          <w14:ligatures w14:val="none"/>
        </w:rPr>
        <w:t xml:space="preserve">Smith </w:t>
      </w:r>
      <w:r w:rsidRPr="003402A7">
        <w:rPr>
          <w:rFonts w:ascii="Arial" w:eastAsia="Arial" w:hAnsi="Arial" w:cs="Arial"/>
          <w:kern w:val="0"/>
          <w:sz w:val="24"/>
          <w:szCs w:val="24"/>
          <w:vertAlign w:val="superscript"/>
          <w:lang w:val="en-US" w:bidi="en-US"/>
          <w14:ligatures w14:val="none"/>
        </w:rPr>
        <w:t>1,2</w:t>
      </w:r>
      <w:r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Daniel </w:t>
      </w:r>
      <w:r w:rsidRPr="003402A7">
        <w:rPr>
          <w:rFonts w:ascii="Arial" w:eastAsia="Arial" w:hAnsi="Arial" w:cs="Arial"/>
          <w:kern w:val="0"/>
          <w:sz w:val="24"/>
          <w:szCs w:val="24"/>
          <w:lang w:val="en-US" w:bidi="en-US"/>
          <w14:ligatures w14:val="none"/>
        </w:rPr>
        <w:t xml:space="preserve">Storer, </w:t>
      </w:r>
      <w:r>
        <w:rPr>
          <w:rFonts w:ascii="Arial" w:eastAsia="Arial" w:hAnsi="Arial" w:cs="Arial"/>
          <w:kern w:val="0"/>
          <w:sz w:val="24"/>
          <w:szCs w:val="24"/>
          <w:lang w:val="en-US" w:bidi="en-US"/>
          <w14:ligatures w14:val="none"/>
        </w:rPr>
        <w:t xml:space="preserve">Kari </w:t>
      </w:r>
      <w:r w:rsidRPr="003402A7">
        <w:rPr>
          <w:rFonts w:ascii="Arial" w:eastAsia="Arial" w:hAnsi="Arial" w:cs="Arial"/>
          <w:kern w:val="0"/>
          <w:sz w:val="24"/>
          <w:szCs w:val="24"/>
          <w:lang w:val="en-US" w:bidi="en-US"/>
          <w14:ligatures w14:val="none"/>
        </w:rPr>
        <w:t>Lancaster, V</w:t>
      </w:r>
      <w:r>
        <w:rPr>
          <w:rFonts w:ascii="Arial" w:eastAsia="Arial" w:hAnsi="Arial" w:cs="Arial"/>
          <w:kern w:val="0"/>
          <w:sz w:val="24"/>
          <w:szCs w:val="24"/>
          <w:lang w:val="en-US" w:bidi="en-US"/>
          <w14:ligatures w14:val="none"/>
        </w:rPr>
        <w:t>incent</w:t>
      </w:r>
      <w:r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C</w:t>
      </w:r>
      <w:r w:rsidRPr="003402A7">
        <w:rPr>
          <w:rFonts w:ascii="Arial" w:eastAsia="Arial" w:hAnsi="Arial" w:cs="Arial"/>
          <w:kern w:val="0"/>
          <w:sz w:val="24"/>
          <w:szCs w:val="24"/>
          <w:lang w:val="en-US" w:bidi="en-US"/>
          <w14:ligatures w14:val="none"/>
        </w:rPr>
        <w:t>ornelisse</w:t>
      </w:r>
      <w:r w:rsidRPr="003402A7">
        <w:rPr>
          <w:rFonts w:ascii="Arial" w:eastAsia="Arial" w:hAnsi="Arial" w:cs="Arial"/>
          <w:kern w:val="0"/>
          <w:sz w:val="24"/>
          <w:szCs w:val="24"/>
          <w:vertAlign w:val="superscript"/>
          <w:lang w:val="en-US" w:bidi="en-US"/>
          <w14:ligatures w14:val="none"/>
        </w:rPr>
        <w:t>3,4</w:t>
      </w:r>
      <w:r w:rsidRPr="003402A7">
        <w:rPr>
          <w:rFonts w:ascii="Arial" w:eastAsia="Arial" w:hAnsi="Arial" w:cs="Arial"/>
          <w:kern w:val="0"/>
          <w:sz w:val="24"/>
          <w:szCs w:val="24"/>
          <w:lang w:val="en-US" w:bidi="en-US"/>
          <w14:ligatures w14:val="none"/>
        </w:rPr>
        <w:t>, J</w:t>
      </w:r>
      <w:r>
        <w:rPr>
          <w:rFonts w:ascii="Arial" w:eastAsia="Arial" w:hAnsi="Arial" w:cs="Arial"/>
          <w:kern w:val="0"/>
          <w:sz w:val="24"/>
          <w:szCs w:val="24"/>
          <w:lang w:val="en-US" w:bidi="en-US"/>
          <w14:ligatures w14:val="none"/>
        </w:rPr>
        <w:t>ames</w:t>
      </w:r>
      <w:r w:rsidRPr="000F779E">
        <w:rPr>
          <w:rFonts w:ascii="Arial" w:eastAsia="Arial" w:hAnsi="Arial" w:cs="Arial"/>
          <w:kern w:val="0"/>
          <w:sz w:val="24"/>
          <w:szCs w:val="24"/>
          <w:lang w:val="en-US" w:bidi="en-US"/>
          <w14:ligatures w14:val="none"/>
        </w:rPr>
        <w:t xml:space="preserve"> </w:t>
      </w:r>
      <w:r w:rsidRPr="003402A7">
        <w:rPr>
          <w:rFonts w:ascii="Arial" w:eastAsia="Arial" w:hAnsi="Arial" w:cs="Arial"/>
          <w:kern w:val="0"/>
          <w:sz w:val="24"/>
          <w:szCs w:val="24"/>
          <w:lang w:val="en-US" w:bidi="en-US"/>
          <w14:ligatures w14:val="none"/>
        </w:rPr>
        <w:t>MacGibbon</w:t>
      </w:r>
      <w:r w:rsidRPr="003402A7">
        <w:rPr>
          <w:rFonts w:ascii="Arial" w:eastAsia="Arial" w:hAnsi="Arial" w:cs="Arial"/>
          <w:kern w:val="0"/>
          <w:sz w:val="24"/>
          <w:szCs w:val="24"/>
          <w:vertAlign w:val="superscript"/>
          <w:lang w:val="en-US" w:bidi="en-US"/>
          <w14:ligatures w14:val="none"/>
        </w:rPr>
        <w:t>1</w:t>
      </w:r>
      <w:r w:rsidRPr="003402A7">
        <w:rPr>
          <w:rFonts w:ascii="Arial" w:eastAsia="Arial" w:hAnsi="Arial" w:cs="Arial"/>
          <w:kern w:val="0"/>
          <w:sz w:val="24"/>
          <w:szCs w:val="24"/>
          <w:lang w:val="en-US" w:bidi="en-US"/>
          <w14:ligatures w14:val="none"/>
        </w:rPr>
        <w:t>, B</w:t>
      </w:r>
      <w:r>
        <w:rPr>
          <w:rFonts w:ascii="Arial" w:eastAsia="Arial" w:hAnsi="Arial" w:cs="Arial"/>
          <w:kern w:val="0"/>
          <w:sz w:val="24"/>
          <w:szCs w:val="24"/>
          <w:lang w:val="en-US" w:bidi="en-US"/>
          <w14:ligatures w14:val="none"/>
        </w:rPr>
        <w:t>ridget</w:t>
      </w:r>
      <w:r w:rsidRPr="003402A7">
        <w:rPr>
          <w:rFonts w:ascii="Arial" w:eastAsia="Arial" w:hAnsi="Arial" w:cs="Arial"/>
          <w:kern w:val="0"/>
          <w:sz w:val="24"/>
          <w:szCs w:val="24"/>
          <w:lang w:val="en-US" w:bidi="en-US"/>
          <w14:ligatures w14:val="none"/>
        </w:rPr>
        <w:t xml:space="preserve"> Haire</w:t>
      </w:r>
      <w:r w:rsidRPr="003402A7">
        <w:rPr>
          <w:rFonts w:ascii="Arial" w:eastAsia="Arial" w:hAnsi="Arial" w:cs="Arial"/>
          <w:kern w:val="0"/>
          <w:sz w:val="24"/>
          <w:szCs w:val="24"/>
          <w:vertAlign w:val="superscript"/>
          <w:lang w:val="en-US" w:bidi="en-US"/>
          <w14:ligatures w14:val="none"/>
        </w:rPr>
        <w:t>2,3</w:t>
      </w:r>
      <w:r w:rsidRPr="003402A7">
        <w:rPr>
          <w:rFonts w:ascii="Arial" w:eastAsia="Arial" w:hAnsi="Arial" w:cs="Arial"/>
          <w:kern w:val="0"/>
          <w:sz w:val="24"/>
          <w:szCs w:val="24"/>
          <w:lang w:val="en-US" w:bidi="en-US"/>
          <w14:ligatures w14:val="none"/>
        </w:rPr>
        <w:t>,</w:t>
      </w:r>
      <w:r>
        <w:rPr>
          <w:rFonts w:ascii="Arial" w:eastAsia="Arial" w:hAnsi="Arial" w:cs="Arial"/>
          <w:kern w:val="0"/>
          <w:sz w:val="24"/>
          <w:szCs w:val="24"/>
          <w:lang w:val="en-US" w:bidi="en-US"/>
          <w14:ligatures w14:val="none"/>
        </w:rPr>
        <w:t xml:space="preserve"> Christy E</w:t>
      </w:r>
      <w:r w:rsidRPr="003402A7">
        <w:rPr>
          <w:rFonts w:ascii="Arial" w:eastAsia="Arial" w:hAnsi="Arial" w:cs="Arial"/>
          <w:kern w:val="0"/>
          <w:sz w:val="24"/>
          <w:szCs w:val="24"/>
          <w:lang w:val="en-US" w:bidi="en-US"/>
          <w14:ligatures w14:val="none"/>
        </w:rPr>
        <w:t xml:space="preserve"> Newman</w:t>
      </w:r>
      <w:r w:rsidRPr="003402A7">
        <w:rPr>
          <w:rFonts w:ascii="Arial" w:eastAsia="Arial" w:hAnsi="Arial" w:cs="Arial"/>
          <w:kern w:val="0"/>
          <w:sz w:val="24"/>
          <w:szCs w:val="24"/>
          <w:vertAlign w:val="superscript"/>
          <w:lang w:val="en-US" w:bidi="en-US"/>
          <w14:ligatures w14:val="none"/>
        </w:rPr>
        <w:t>1,2</w:t>
      </w:r>
      <w:r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Valerie </w:t>
      </w:r>
      <w:r w:rsidRPr="003402A7">
        <w:rPr>
          <w:rFonts w:ascii="Arial" w:eastAsia="Arial" w:hAnsi="Arial" w:cs="Arial"/>
          <w:kern w:val="0"/>
          <w:sz w:val="24"/>
          <w:szCs w:val="24"/>
          <w:lang w:val="en-US" w:bidi="en-US"/>
          <w14:ligatures w14:val="none"/>
        </w:rPr>
        <w:t>Delpech</w:t>
      </w:r>
      <w:r w:rsidRPr="003402A7">
        <w:rPr>
          <w:rFonts w:ascii="Arial" w:eastAsia="Arial" w:hAnsi="Arial" w:cs="Arial"/>
          <w:kern w:val="0"/>
          <w:sz w:val="24"/>
          <w:szCs w:val="24"/>
          <w:vertAlign w:val="superscript"/>
          <w:lang w:val="en-US" w:bidi="en-US"/>
          <w14:ligatures w14:val="none"/>
        </w:rPr>
        <w:t>4</w:t>
      </w:r>
      <w:r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Sara </w:t>
      </w:r>
      <w:r w:rsidRPr="003402A7">
        <w:rPr>
          <w:rFonts w:ascii="Arial" w:eastAsia="Arial" w:hAnsi="Arial" w:cs="Arial"/>
          <w:kern w:val="0"/>
          <w:sz w:val="24"/>
          <w:szCs w:val="24"/>
          <w:lang w:val="en-US" w:bidi="en-US"/>
          <w14:ligatures w14:val="none"/>
        </w:rPr>
        <w:t>Paparini</w:t>
      </w:r>
      <w:r w:rsidRPr="003402A7">
        <w:rPr>
          <w:rFonts w:ascii="Arial" w:eastAsia="Arial" w:hAnsi="Arial" w:cs="Arial"/>
          <w:kern w:val="0"/>
          <w:sz w:val="24"/>
          <w:szCs w:val="24"/>
          <w:vertAlign w:val="superscript"/>
          <w:lang w:val="en-US" w:bidi="en-US"/>
          <w14:ligatures w14:val="none"/>
        </w:rPr>
        <w:t>5</w:t>
      </w:r>
      <w:r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John </w:t>
      </w:r>
      <w:r w:rsidRPr="003402A7">
        <w:rPr>
          <w:rFonts w:ascii="Arial" w:eastAsia="Arial" w:hAnsi="Arial" w:cs="Arial"/>
          <w:kern w:val="0"/>
          <w:sz w:val="24"/>
          <w:szCs w:val="24"/>
          <w:lang w:val="en-US" w:bidi="en-US"/>
          <w14:ligatures w14:val="none"/>
        </w:rPr>
        <w:t>Rule</w:t>
      </w:r>
      <w:r w:rsidRPr="003402A7">
        <w:rPr>
          <w:rFonts w:ascii="Arial" w:eastAsia="Arial" w:hAnsi="Arial" w:cs="Arial"/>
          <w:kern w:val="0"/>
          <w:sz w:val="24"/>
          <w:szCs w:val="24"/>
          <w:vertAlign w:val="superscript"/>
          <w:lang w:val="en-US" w:bidi="en-US"/>
          <w14:ligatures w14:val="none"/>
        </w:rPr>
        <w:t>6</w:t>
      </w:r>
      <w:r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Anna </w:t>
      </w:r>
      <w:r w:rsidRPr="003402A7">
        <w:rPr>
          <w:rFonts w:ascii="Arial" w:eastAsia="Arial" w:hAnsi="Arial" w:cs="Arial"/>
          <w:kern w:val="0"/>
          <w:sz w:val="24"/>
          <w:szCs w:val="24"/>
          <w:lang w:val="en-US" w:bidi="en-US"/>
          <w14:ligatures w14:val="none"/>
        </w:rPr>
        <w:t>McNulty</w:t>
      </w:r>
      <w:r w:rsidRPr="003402A7">
        <w:rPr>
          <w:rFonts w:ascii="Arial" w:eastAsia="Arial" w:hAnsi="Arial" w:cs="Arial"/>
          <w:kern w:val="0"/>
          <w:sz w:val="24"/>
          <w:szCs w:val="24"/>
          <w:vertAlign w:val="superscript"/>
          <w:lang w:val="en-US" w:bidi="en-US"/>
          <w14:ligatures w14:val="none"/>
        </w:rPr>
        <w:t>7,8</w:t>
      </w:r>
      <w:r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Adam </w:t>
      </w:r>
      <w:r w:rsidRPr="003402A7">
        <w:rPr>
          <w:rFonts w:ascii="Arial" w:eastAsia="Arial" w:hAnsi="Arial" w:cs="Arial"/>
          <w:kern w:val="0"/>
          <w:sz w:val="24"/>
          <w:szCs w:val="24"/>
          <w:lang w:val="en-US" w:bidi="en-US"/>
          <w14:ligatures w14:val="none"/>
        </w:rPr>
        <w:t>Bourne</w:t>
      </w:r>
      <w:r w:rsidRPr="003402A7">
        <w:rPr>
          <w:rFonts w:ascii="Arial" w:eastAsia="Arial" w:hAnsi="Arial" w:cs="Arial"/>
          <w:kern w:val="0"/>
          <w:sz w:val="24"/>
          <w:szCs w:val="24"/>
          <w:vertAlign w:val="superscript"/>
          <w:lang w:val="en-US" w:bidi="en-US"/>
          <w14:ligatures w14:val="none"/>
        </w:rPr>
        <w:t>3,9</w:t>
      </w:r>
      <w:r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Timothy </w:t>
      </w:r>
      <w:r w:rsidRPr="003402A7">
        <w:rPr>
          <w:rFonts w:ascii="Arial" w:eastAsia="Arial" w:hAnsi="Arial" w:cs="Arial"/>
          <w:kern w:val="0"/>
          <w:sz w:val="24"/>
          <w:szCs w:val="24"/>
          <w:lang w:val="en-US" w:bidi="en-US"/>
          <w14:ligatures w14:val="none"/>
        </w:rPr>
        <w:t>Broady</w:t>
      </w:r>
      <w:r w:rsidRPr="003402A7">
        <w:rPr>
          <w:rFonts w:ascii="Arial" w:eastAsia="Arial" w:hAnsi="Arial" w:cs="Arial"/>
          <w:kern w:val="0"/>
          <w:sz w:val="24"/>
          <w:szCs w:val="24"/>
          <w:vertAlign w:val="superscript"/>
          <w:lang w:val="en-US" w:bidi="en-US"/>
          <w14:ligatures w14:val="none"/>
        </w:rPr>
        <w:t>1</w:t>
      </w:r>
      <w:r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Dash </w:t>
      </w:r>
      <w:r w:rsidRPr="003402A7">
        <w:rPr>
          <w:rFonts w:ascii="Arial" w:eastAsia="Arial" w:hAnsi="Arial" w:cs="Arial"/>
          <w:kern w:val="0"/>
          <w:sz w:val="24"/>
          <w:szCs w:val="24"/>
          <w:lang w:val="en-US" w:bidi="en-US"/>
          <w14:ligatures w14:val="none"/>
        </w:rPr>
        <w:t>Heath-Paynter</w:t>
      </w:r>
      <w:r w:rsidRPr="003402A7">
        <w:rPr>
          <w:rFonts w:ascii="Arial" w:eastAsia="Arial" w:hAnsi="Arial" w:cs="Arial"/>
          <w:kern w:val="0"/>
          <w:sz w:val="24"/>
          <w:szCs w:val="24"/>
          <w:vertAlign w:val="superscript"/>
          <w:lang w:val="en-US" w:bidi="en-US"/>
          <w14:ligatures w14:val="none"/>
        </w:rPr>
        <w:t>10</w:t>
      </w:r>
      <w:r w:rsidRPr="003402A7">
        <w:rPr>
          <w:rFonts w:ascii="Arial" w:eastAsia="Arial" w:hAnsi="Arial" w:cs="Arial"/>
          <w:kern w:val="0"/>
          <w:sz w:val="24"/>
          <w:szCs w:val="24"/>
          <w:lang w:val="en-US" w:bidi="en-US"/>
          <w14:ligatures w14:val="none"/>
        </w:rPr>
        <w:t xml:space="preserve">, </w:t>
      </w:r>
      <w:r>
        <w:rPr>
          <w:rFonts w:ascii="Arial" w:eastAsia="Arial" w:hAnsi="Arial" w:cs="Arial"/>
          <w:kern w:val="0"/>
          <w:sz w:val="24"/>
          <w:szCs w:val="24"/>
          <w:lang w:val="en-US" w:bidi="en-US"/>
          <w14:ligatures w14:val="none"/>
        </w:rPr>
        <w:t xml:space="preserve">Martin </w:t>
      </w:r>
      <w:r w:rsidRPr="003402A7">
        <w:rPr>
          <w:rFonts w:ascii="Arial" w:eastAsia="Arial" w:hAnsi="Arial" w:cs="Arial"/>
          <w:kern w:val="0"/>
          <w:sz w:val="24"/>
          <w:szCs w:val="24"/>
          <w:lang w:val="en-US" w:bidi="en-US"/>
          <w14:ligatures w14:val="none"/>
        </w:rPr>
        <w:t>Holt</w:t>
      </w:r>
      <w:r w:rsidRPr="003402A7">
        <w:rPr>
          <w:rFonts w:ascii="Arial" w:eastAsia="Arial" w:hAnsi="Arial" w:cs="Arial"/>
          <w:kern w:val="0"/>
          <w:sz w:val="24"/>
          <w:szCs w:val="24"/>
          <w:vertAlign w:val="superscript"/>
          <w:lang w:val="en-US" w:bidi="en-US"/>
          <w14:ligatures w14:val="none"/>
        </w:rPr>
        <w:t>1</w:t>
      </w:r>
    </w:p>
    <w:p w14:paraId="1071BFE9" w14:textId="77777777" w:rsidR="00AE3139" w:rsidRPr="003402A7" w:rsidRDefault="00AE3139" w:rsidP="00AE3139">
      <w:pPr>
        <w:spacing w:after="0" w:line="240" w:lineRule="auto"/>
        <w:rPr>
          <w:rFonts w:ascii="Arial" w:eastAsia="Arial" w:hAnsi="Arial" w:cs="Arial"/>
          <w:kern w:val="0"/>
          <w:sz w:val="24"/>
          <w:szCs w:val="24"/>
          <w:lang w:val="en-US" w:bidi="en-US"/>
          <w14:ligatures w14:val="none"/>
        </w:rPr>
      </w:pPr>
    </w:p>
    <w:p w14:paraId="76DBF953" w14:textId="77777777" w:rsidR="00AE3139" w:rsidRPr="003402A7" w:rsidRDefault="00AE3139" w:rsidP="00AE3139">
      <w:pPr>
        <w:spacing w:after="0" w:line="240" w:lineRule="auto"/>
        <w:rPr>
          <w:rFonts w:ascii="Arial" w:eastAsia="Arial" w:hAnsi="Arial" w:cs="Arial"/>
          <w:kern w:val="0"/>
          <w:sz w:val="24"/>
          <w:szCs w:val="24"/>
          <w:lang w:val="en-US" w:bidi="en-US"/>
          <w14:ligatures w14:val="none"/>
        </w:rPr>
      </w:pPr>
      <w:r w:rsidRPr="003402A7">
        <w:rPr>
          <w:rFonts w:ascii="Arial" w:eastAsia="Arial" w:hAnsi="Arial" w:cs="Arial"/>
          <w:kern w:val="0"/>
          <w:sz w:val="24"/>
          <w:szCs w:val="24"/>
          <w:vertAlign w:val="superscript"/>
          <w:lang w:val="en-US" w:bidi="en-US"/>
          <w14:ligatures w14:val="none"/>
        </w:rPr>
        <w:t xml:space="preserve">1 </w:t>
      </w:r>
      <w:r w:rsidRPr="003402A7">
        <w:rPr>
          <w:rFonts w:ascii="Arial" w:eastAsia="Arial" w:hAnsi="Arial" w:cs="Arial"/>
          <w:kern w:val="0"/>
          <w:sz w:val="24"/>
          <w:szCs w:val="24"/>
          <w:lang w:val="en-US" w:bidi="en-US"/>
          <w14:ligatures w14:val="none"/>
        </w:rPr>
        <w:t>Centre for Social Research in Health, UNSW Sydney</w:t>
      </w:r>
    </w:p>
    <w:p w14:paraId="6FF8E162" w14:textId="77777777" w:rsidR="00AE3139" w:rsidRPr="003402A7" w:rsidRDefault="00AE3139" w:rsidP="00AE3139">
      <w:pPr>
        <w:spacing w:after="0" w:line="240" w:lineRule="auto"/>
        <w:rPr>
          <w:rFonts w:ascii="Arial" w:eastAsia="Arial" w:hAnsi="Arial" w:cs="Arial"/>
          <w:kern w:val="0"/>
          <w:sz w:val="24"/>
          <w:szCs w:val="24"/>
          <w:lang w:val="en-US" w:bidi="en-US"/>
          <w14:ligatures w14:val="none"/>
        </w:rPr>
      </w:pPr>
      <w:r w:rsidRPr="003402A7">
        <w:rPr>
          <w:rFonts w:ascii="Arial" w:eastAsia="Arial" w:hAnsi="Arial" w:cs="Arial"/>
          <w:kern w:val="0"/>
          <w:sz w:val="24"/>
          <w:szCs w:val="24"/>
          <w:vertAlign w:val="superscript"/>
          <w:lang w:val="en-US" w:bidi="en-US"/>
          <w14:ligatures w14:val="none"/>
        </w:rPr>
        <w:t>2</w:t>
      </w:r>
      <w:r w:rsidRPr="003402A7">
        <w:rPr>
          <w:rFonts w:ascii="Arial" w:eastAsia="Arial" w:hAnsi="Arial" w:cs="Arial"/>
          <w:kern w:val="0"/>
          <w:sz w:val="24"/>
          <w:szCs w:val="24"/>
          <w:lang w:val="en-US" w:bidi="en-US"/>
          <w14:ligatures w14:val="none"/>
        </w:rPr>
        <w:t xml:space="preserve"> Australian Human Rights Institute, UNSW Sydney</w:t>
      </w:r>
    </w:p>
    <w:p w14:paraId="39EB4CBC" w14:textId="77777777" w:rsidR="00AE3139" w:rsidRPr="003402A7" w:rsidRDefault="00AE3139" w:rsidP="00AE3139">
      <w:pPr>
        <w:spacing w:after="0" w:line="240" w:lineRule="auto"/>
        <w:rPr>
          <w:rFonts w:ascii="Arial" w:eastAsia="Arial" w:hAnsi="Arial" w:cs="Arial"/>
          <w:kern w:val="0"/>
          <w:sz w:val="24"/>
          <w:szCs w:val="24"/>
          <w:lang w:val="en-US" w:bidi="en-US"/>
          <w14:ligatures w14:val="none"/>
        </w:rPr>
      </w:pPr>
      <w:r w:rsidRPr="003402A7">
        <w:rPr>
          <w:rFonts w:ascii="Arial" w:eastAsia="Arial" w:hAnsi="Arial" w:cs="Arial"/>
          <w:kern w:val="0"/>
          <w:sz w:val="24"/>
          <w:szCs w:val="24"/>
          <w:vertAlign w:val="superscript"/>
          <w:lang w:val="en-US" w:bidi="en-US"/>
          <w14:ligatures w14:val="none"/>
        </w:rPr>
        <w:t xml:space="preserve">3 </w:t>
      </w:r>
      <w:r w:rsidRPr="003402A7">
        <w:rPr>
          <w:rFonts w:ascii="Arial" w:eastAsia="Arial" w:hAnsi="Arial" w:cs="Arial"/>
          <w:kern w:val="0"/>
          <w:sz w:val="24"/>
          <w:szCs w:val="24"/>
          <w:lang w:val="en-US" w:bidi="en-US"/>
          <w14:ligatures w14:val="none"/>
        </w:rPr>
        <w:t>Kirby Institute, UNSW Sydney</w:t>
      </w:r>
    </w:p>
    <w:p w14:paraId="12EBA3F0" w14:textId="77777777" w:rsidR="00AE3139" w:rsidRPr="003402A7" w:rsidRDefault="00AE3139" w:rsidP="00AE3139">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vertAlign w:val="superscript"/>
          <w:lang w:val="en-US" w:bidi="en-US"/>
          <w14:ligatures w14:val="none"/>
        </w:rPr>
        <w:t xml:space="preserve">4 </w:t>
      </w:r>
      <w:r w:rsidRPr="003402A7">
        <w:rPr>
          <w:rFonts w:ascii="Arial" w:eastAsia="Times New Roman" w:hAnsi="Arial" w:cs="Arial"/>
          <w:kern w:val="0"/>
          <w:sz w:val="24"/>
          <w:szCs w:val="24"/>
          <w:lang w:val="en-US" w:bidi="en-US"/>
          <w14:ligatures w14:val="none"/>
        </w:rPr>
        <w:t>NSW Health</w:t>
      </w:r>
    </w:p>
    <w:p w14:paraId="74FCE748" w14:textId="77777777" w:rsidR="00AE3139" w:rsidRPr="003402A7" w:rsidRDefault="00AE3139" w:rsidP="00AE3139">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vertAlign w:val="superscript"/>
          <w:lang w:val="en-US" w:bidi="en-US"/>
          <w14:ligatures w14:val="none"/>
        </w:rPr>
        <w:t>5</w:t>
      </w:r>
      <w:r w:rsidRPr="003402A7">
        <w:rPr>
          <w:rFonts w:ascii="Arial" w:eastAsia="Times New Roman" w:hAnsi="Arial" w:cs="Arial"/>
          <w:kern w:val="0"/>
          <w:sz w:val="24"/>
          <w:szCs w:val="24"/>
          <w:lang w:val="en-US" w:bidi="en-US"/>
          <w14:ligatures w14:val="none"/>
        </w:rPr>
        <w:t xml:space="preserve"> SHARE Collaborative, Wolfson Institute of Population Health, Queen Mary University of London, London, UK</w:t>
      </w:r>
    </w:p>
    <w:p w14:paraId="25419EBB" w14:textId="77777777" w:rsidR="00AE3139" w:rsidRPr="003402A7" w:rsidRDefault="00AE3139" w:rsidP="00AE3139">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vertAlign w:val="superscript"/>
          <w:lang w:val="en-US" w:bidi="en-US"/>
          <w14:ligatures w14:val="none"/>
        </w:rPr>
        <w:t xml:space="preserve">6 </w:t>
      </w:r>
      <w:r w:rsidRPr="003402A7">
        <w:rPr>
          <w:rFonts w:ascii="Arial" w:eastAsia="Times New Roman" w:hAnsi="Arial" w:cs="Arial"/>
          <w:kern w:val="0"/>
          <w:sz w:val="24"/>
          <w:szCs w:val="24"/>
          <w:lang w:val="en-US" w:bidi="en-US"/>
          <w14:ligatures w14:val="none"/>
        </w:rPr>
        <w:t>National Association of People Living with HIV Australia (NAPWHA)</w:t>
      </w:r>
    </w:p>
    <w:p w14:paraId="61734339" w14:textId="77777777" w:rsidR="00AE3139" w:rsidRPr="003402A7" w:rsidRDefault="00AE3139" w:rsidP="00AE3139">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vertAlign w:val="superscript"/>
          <w:lang w:val="en-US" w:bidi="en-US"/>
          <w14:ligatures w14:val="none"/>
        </w:rPr>
        <w:t xml:space="preserve">7 </w:t>
      </w:r>
      <w:r w:rsidRPr="003402A7">
        <w:rPr>
          <w:rFonts w:ascii="Arial" w:eastAsia="Times New Roman" w:hAnsi="Arial" w:cs="Arial"/>
          <w:kern w:val="0"/>
          <w:sz w:val="24"/>
          <w:szCs w:val="24"/>
          <w:lang w:val="en-US" w:bidi="en-US"/>
          <w14:ligatures w14:val="none"/>
        </w:rPr>
        <w:t>Sydney Sexual Health Centre</w:t>
      </w:r>
    </w:p>
    <w:p w14:paraId="1DE6D300" w14:textId="77777777" w:rsidR="00AE3139" w:rsidRPr="003402A7" w:rsidRDefault="00AE3139" w:rsidP="00AE3139">
      <w:pPr>
        <w:spacing w:after="0" w:line="240" w:lineRule="auto"/>
        <w:rPr>
          <w:rFonts w:ascii="Arial" w:eastAsia="Times New Roman" w:hAnsi="Arial" w:cs="Arial"/>
          <w:kern w:val="0"/>
          <w:sz w:val="24"/>
          <w:szCs w:val="24"/>
          <w:lang w:val="en-US" w:bidi="en-US"/>
          <w14:ligatures w14:val="none"/>
        </w:rPr>
      </w:pPr>
      <w:r w:rsidRPr="003402A7">
        <w:rPr>
          <w:rFonts w:ascii="Arial" w:eastAsia="Times New Roman" w:hAnsi="Arial" w:cs="Arial"/>
          <w:kern w:val="0"/>
          <w:sz w:val="24"/>
          <w:szCs w:val="24"/>
          <w:vertAlign w:val="superscript"/>
          <w:lang w:val="en-US" w:bidi="en-US"/>
          <w14:ligatures w14:val="none"/>
        </w:rPr>
        <w:t xml:space="preserve">8 </w:t>
      </w:r>
      <w:r w:rsidRPr="003402A7">
        <w:rPr>
          <w:rFonts w:ascii="Arial" w:eastAsia="Times New Roman" w:hAnsi="Arial" w:cs="Arial"/>
          <w:kern w:val="0"/>
          <w:sz w:val="24"/>
          <w:szCs w:val="24"/>
          <w:lang w:val="en-US" w:bidi="en-US"/>
          <w14:ligatures w14:val="none"/>
        </w:rPr>
        <w:t>School of Population Health, UNSW Sydney</w:t>
      </w:r>
    </w:p>
    <w:p w14:paraId="3B39730E" w14:textId="77777777" w:rsidR="00AE3139" w:rsidRPr="003402A7" w:rsidRDefault="00AE3139" w:rsidP="00AE3139">
      <w:pPr>
        <w:spacing w:after="0" w:line="240" w:lineRule="auto"/>
        <w:rPr>
          <w:rFonts w:ascii="Arial" w:eastAsia="Times New Roman" w:hAnsi="Arial" w:cs="Arial"/>
          <w:kern w:val="0"/>
          <w:sz w:val="24"/>
          <w:szCs w:val="24"/>
          <w:lang w:val="en-US" w:bidi="en-US"/>
          <w14:ligatures w14:val="none"/>
        </w:rPr>
      </w:pPr>
      <w:r w:rsidRPr="003402A7">
        <w:rPr>
          <w:rFonts w:ascii="Arial" w:eastAsia="Arial" w:hAnsi="Arial" w:cs="Arial"/>
          <w:kern w:val="0"/>
          <w:sz w:val="24"/>
          <w:szCs w:val="24"/>
          <w:vertAlign w:val="superscript"/>
          <w:lang w:val="en-US" w:bidi="en-US"/>
          <w14:ligatures w14:val="none"/>
        </w:rPr>
        <w:t>9</w:t>
      </w:r>
      <w:r w:rsidRPr="003402A7">
        <w:rPr>
          <w:rFonts w:ascii="Arial" w:eastAsia="Times New Roman" w:hAnsi="Arial" w:cs="Arial"/>
          <w:kern w:val="0"/>
          <w:sz w:val="24"/>
          <w:szCs w:val="24"/>
          <w:lang w:val="en-US" w:bidi="en-US"/>
          <w14:ligatures w14:val="none"/>
        </w:rPr>
        <w:t xml:space="preserve"> Australian Research Centre in Sex, Health and Society (ARCSHS), La Trobe University</w:t>
      </w:r>
    </w:p>
    <w:p w14:paraId="25FFA193" w14:textId="77777777" w:rsidR="00AE3139" w:rsidRPr="003402A7" w:rsidRDefault="00AE3139" w:rsidP="00AE3139">
      <w:pPr>
        <w:spacing w:after="0" w:line="240" w:lineRule="auto"/>
        <w:rPr>
          <w:rFonts w:ascii="Arial" w:eastAsia="Times New Roman" w:hAnsi="Arial" w:cs="Arial"/>
          <w:kern w:val="0"/>
          <w:sz w:val="24"/>
          <w:szCs w:val="24"/>
          <w:lang w:val="en-US" w:bidi="en-US"/>
          <w14:ligatures w14:val="none"/>
        </w:rPr>
      </w:pPr>
      <w:r w:rsidRPr="003402A7">
        <w:rPr>
          <w:rFonts w:ascii="Arial" w:eastAsia="Arial" w:hAnsi="Arial" w:cs="Arial"/>
          <w:kern w:val="0"/>
          <w:sz w:val="24"/>
          <w:szCs w:val="24"/>
          <w:vertAlign w:val="superscript"/>
          <w:lang w:val="en-US" w:bidi="en-US"/>
          <w14:ligatures w14:val="none"/>
        </w:rPr>
        <w:t>10</w:t>
      </w:r>
      <w:r w:rsidRPr="003402A7">
        <w:rPr>
          <w:rFonts w:ascii="Arial" w:eastAsia="Times New Roman" w:hAnsi="Arial" w:cs="Arial"/>
          <w:kern w:val="0"/>
          <w:sz w:val="24"/>
          <w:szCs w:val="24"/>
          <w:lang w:val="en-US" w:bidi="en-US"/>
          <w14:ligatures w14:val="none"/>
        </w:rPr>
        <w:t xml:space="preserve"> Health Equity Matters, NSW, Australia</w:t>
      </w:r>
    </w:p>
    <w:p w14:paraId="2E8700CF" w14:textId="77777777" w:rsidR="00383CC6" w:rsidRDefault="00383CC6" w:rsidP="00473086">
      <w:pPr>
        <w:spacing w:after="0" w:line="240" w:lineRule="auto"/>
        <w:rPr>
          <w:rFonts w:ascii="Arial" w:hAnsi="Arial" w:cs="Arial"/>
          <w:sz w:val="24"/>
          <w:szCs w:val="24"/>
        </w:rPr>
      </w:pPr>
    </w:p>
    <w:p w14:paraId="1BC4F177" w14:textId="1C399E5B" w:rsidR="00383CC6" w:rsidRDefault="00383CC6" w:rsidP="00473086">
      <w:pPr>
        <w:spacing w:after="0" w:line="240" w:lineRule="auto"/>
        <w:rPr>
          <w:rFonts w:ascii="Arial" w:hAnsi="Arial" w:cs="Arial"/>
          <w:sz w:val="24"/>
          <w:szCs w:val="24"/>
        </w:rPr>
      </w:pPr>
      <w:r>
        <w:rPr>
          <w:rFonts w:ascii="Arial" w:hAnsi="Arial" w:cs="Arial"/>
          <w:b/>
          <w:bCs/>
          <w:sz w:val="24"/>
          <w:szCs w:val="24"/>
        </w:rPr>
        <w:t>Background</w:t>
      </w:r>
      <w:r w:rsidR="00AF1EE8">
        <w:rPr>
          <w:rFonts w:ascii="Arial" w:hAnsi="Arial" w:cs="Arial"/>
          <w:b/>
          <w:bCs/>
          <w:sz w:val="24"/>
          <w:szCs w:val="24"/>
        </w:rPr>
        <w:t>/Introduction</w:t>
      </w:r>
      <w:r>
        <w:rPr>
          <w:rFonts w:ascii="Arial" w:hAnsi="Arial" w:cs="Arial"/>
          <w:b/>
          <w:bCs/>
          <w:sz w:val="24"/>
          <w:szCs w:val="24"/>
        </w:rPr>
        <w:t>:</w:t>
      </w:r>
    </w:p>
    <w:p w14:paraId="06B9F289" w14:textId="0C4FCEC9" w:rsidR="00383CC6" w:rsidRDefault="00AE3139" w:rsidP="00473086">
      <w:pPr>
        <w:spacing w:after="0" w:line="240" w:lineRule="auto"/>
        <w:rPr>
          <w:rFonts w:ascii="Arial" w:hAnsi="Arial" w:cs="Arial"/>
          <w:sz w:val="24"/>
          <w:szCs w:val="24"/>
        </w:rPr>
      </w:pPr>
      <w:r w:rsidRPr="00AE3139">
        <w:rPr>
          <w:rFonts w:ascii="Arial" w:hAnsi="Arial" w:cs="Arial"/>
          <w:sz w:val="24"/>
          <w:szCs w:val="24"/>
        </w:rPr>
        <w:t>In May 2022, a global outbreak of mpox emerged, with a small number of mpox cases (n=144) identified in Australia. This study sought to document in-depth qualitative accounts of the social, care, and health experiences of people directly affected by mpox.</w:t>
      </w:r>
    </w:p>
    <w:p w14:paraId="5C740534" w14:textId="77777777" w:rsidR="00383CC6" w:rsidRDefault="00383CC6" w:rsidP="00473086">
      <w:pPr>
        <w:spacing w:after="0" w:line="240" w:lineRule="auto"/>
        <w:rPr>
          <w:rFonts w:ascii="Arial" w:hAnsi="Arial" w:cs="Arial"/>
          <w:sz w:val="24"/>
          <w:szCs w:val="24"/>
        </w:rPr>
      </w:pPr>
    </w:p>
    <w:p w14:paraId="7DB7C25C" w14:textId="5605FAF3" w:rsidR="00383CC6" w:rsidRDefault="00383CC6" w:rsidP="00473086">
      <w:pPr>
        <w:spacing w:after="0" w:line="240" w:lineRule="auto"/>
        <w:rPr>
          <w:rFonts w:ascii="Arial" w:hAnsi="Arial" w:cs="Arial"/>
          <w:sz w:val="24"/>
          <w:szCs w:val="24"/>
        </w:rPr>
      </w:pPr>
      <w:r>
        <w:rPr>
          <w:rFonts w:ascii="Arial" w:hAnsi="Arial" w:cs="Arial"/>
          <w:b/>
          <w:bCs/>
          <w:sz w:val="24"/>
          <w:szCs w:val="24"/>
        </w:rPr>
        <w:t>Methods</w:t>
      </w:r>
      <w:r w:rsidR="00AF1EE8">
        <w:rPr>
          <w:rFonts w:ascii="Arial" w:hAnsi="Arial" w:cs="Arial"/>
          <w:b/>
          <w:bCs/>
          <w:sz w:val="24"/>
          <w:szCs w:val="24"/>
        </w:rPr>
        <w:t>/Approach</w:t>
      </w:r>
      <w:r>
        <w:rPr>
          <w:rFonts w:ascii="Arial" w:hAnsi="Arial" w:cs="Arial"/>
          <w:b/>
          <w:bCs/>
          <w:sz w:val="24"/>
          <w:szCs w:val="24"/>
        </w:rPr>
        <w:t>:</w:t>
      </w:r>
    </w:p>
    <w:p w14:paraId="77D308C1" w14:textId="66C8DC8B" w:rsidR="00383CC6" w:rsidRDefault="00AE3139" w:rsidP="00473086">
      <w:pPr>
        <w:spacing w:after="0" w:line="240" w:lineRule="auto"/>
        <w:rPr>
          <w:rFonts w:ascii="Arial" w:hAnsi="Arial" w:cs="Arial"/>
          <w:sz w:val="24"/>
          <w:szCs w:val="24"/>
        </w:rPr>
      </w:pPr>
      <w:r w:rsidRPr="00AE3139">
        <w:rPr>
          <w:rFonts w:ascii="Arial" w:hAnsi="Arial" w:cs="Arial"/>
          <w:sz w:val="24"/>
          <w:szCs w:val="24"/>
        </w:rPr>
        <w:t>Semi-structured interviews were conducted between October-December 2022 with 13 people diagnosed with mpox living in Australia, as well as 3 close contacts (household or sexual partners). 6-month follow-up interviews were conducted in April-May 2023 with 7 participants, providing 23 interviews. Interviews were deidentified and thematically analysed.</w:t>
      </w:r>
    </w:p>
    <w:p w14:paraId="7C55AADE" w14:textId="77777777" w:rsidR="00383CC6" w:rsidRDefault="00383CC6" w:rsidP="00473086">
      <w:pPr>
        <w:spacing w:after="0" w:line="240" w:lineRule="auto"/>
        <w:rPr>
          <w:rFonts w:ascii="Arial" w:hAnsi="Arial" w:cs="Arial"/>
          <w:sz w:val="24"/>
          <w:szCs w:val="24"/>
        </w:rPr>
      </w:pPr>
    </w:p>
    <w:p w14:paraId="093B1497" w14:textId="74D2B096" w:rsidR="00383CC6" w:rsidRDefault="00383CC6" w:rsidP="00473086">
      <w:pPr>
        <w:spacing w:after="0" w:line="240" w:lineRule="auto"/>
        <w:rPr>
          <w:rFonts w:ascii="Arial" w:hAnsi="Arial" w:cs="Arial"/>
          <w:b/>
          <w:bCs/>
          <w:sz w:val="24"/>
          <w:szCs w:val="24"/>
        </w:rPr>
      </w:pPr>
      <w:r>
        <w:rPr>
          <w:rFonts w:ascii="Arial" w:hAnsi="Arial" w:cs="Arial"/>
          <w:b/>
          <w:bCs/>
          <w:sz w:val="24"/>
          <w:szCs w:val="24"/>
        </w:rPr>
        <w:t>Findings</w:t>
      </w:r>
      <w:r w:rsidR="00C34E30">
        <w:rPr>
          <w:rFonts w:ascii="Arial" w:hAnsi="Arial" w:cs="Arial"/>
          <w:b/>
          <w:bCs/>
          <w:sz w:val="24"/>
          <w:szCs w:val="24"/>
        </w:rPr>
        <w:t>/Results</w:t>
      </w:r>
      <w:r>
        <w:rPr>
          <w:rFonts w:ascii="Arial" w:hAnsi="Arial" w:cs="Arial"/>
          <w:b/>
          <w:bCs/>
          <w:sz w:val="24"/>
          <w:szCs w:val="24"/>
        </w:rPr>
        <w:t>:</w:t>
      </w:r>
    </w:p>
    <w:p w14:paraId="2BC72AC4" w14:textId="60585B2A" w:rsidR="00383CC6" w:rsidRDefault="00AE3139" w:rsidP="00473086">
      <w:pPr>
        <w:spacing w:after="0" w:line="240" w:lineRule="auto"/>
        <w:rPr>
          <w:rFonts w:ascii="Arial" w:hAnsi="Arial" w:cs="Arial"/>
          <w:sz w:val="24"/>
          <w:szCs w:val="24"/>
        </w:rPr>
      </w:pPr>
      <w:r w:rsidRPr="00AE3139">
        <w:rPr>
          <w:rFonts w:ascii="Arial" w:hAnsi="Arial" w:cs="Arial"/>
          <w:sz w:val="24"/>
          <w:szCs w:val="24"/>
        </w:rPr>
        <w:t>All participants were gay or bisexual cisgender men. Most reported acquiring mpox overseas on holiday (n=11) in July or August 2022, and isolated or received care in Australia (n=8). Participants’ experiences of mpox illness, diagnosis, care and recovery were highly distressing amidst the uncertainty of the outbreak, and severe symptoms and long isolation periods were difficult to manage. Physical symptoms were primarily confined to the acute illness period, but half of participants (n=7) reported longer-term social and physical sequelae from mpox, including continuing changes to sexual practices, ongoing fatigue, psychological distress, major scarring, and the need for corrective rectal surgery. Most participants diagnosed with mpox (n=10) reported dissatisfaction with clinical care, including challenging communication with contact tracers, perceived judgement about sexual behaviour, inadequate pain management, or stigmatising care in hospital. Participants expressed a desire for greater empathy from clinicians and contact tracers and more proactive pain management.</w:t>
      </w:r>
    </w:p>
    <w:p w14:paraId="41F03D61" w14:textId="77777777" w:rsidR="00383CC6" w:rsidRDefault="00383CC6" w:rsidP="00473086">
      <w:pPr>
        <w:spacing w:after="0" w:line="240" w:lineRule="auto"/>
        <w:rPr>
          <w:rFonts w:ascii="Arial" w:hAnsi="Arial" w:cs="Arial"/>
          <w:sz w:val="24"/>
          <w:szCs w:val="24"/>
        </w:rPr>
      </w:pPr>
    </w:p>
    <w:p w14:paraId="2C409736" w14:textId="0ADEF585" w:rsidR="00383CC6" w:rsidRDefault="00AF1EE8" w:rsidP="00473086">
      <w:pPr>
        <w:spacing w:after="0" w:line="240" w:lineRule="auto"/>
        <w:rPr>
          <w:rFonts w:ascii="Arial" w:hAnsi="Arial" w:cs="Arial"/>
          <w:b/>
          <w:bCs/>
          <w:sz w:val="24"/>
          <w:szCs w:val="24"/>
        </w:rPr>
      </w:pPr>
      <w:r>
        <w:rPr>
          <w:rFonts w:ascii="Arial" w:hAnsi="Arial" w:cs="Arial"/>
          <w:b/>
          <w:bCs/>
          <w:sz w:val="24"/>
          <w:szCs w:val="24"/>
        </w:rPr>
        <w:t>Implications/</w:t>
      </w:r>
      <w:r w:rsidR="00383CC6">
        <w:rPr>
          <w:rFonts w:ascii="Arial" w:hAnsi="Arial" w:cs="Arial"/>
          <w:b/>
          <w:bCs/>
          <w:sz w:val="24"/>
          <w:szCs w:val="24"/>
        </w:rPr>
        <w:t>Conclusion:</w:t>
      </w:r>
    </w:p>
    <w:p w14:paraId="046A2AC3" w14:textId="538E6991" w:rsidR="00383CC6" w:rsidRDefault="00AE3139" w:rsidP="00473086">
      <w:pPr>
        <w:spacing w:after="0" w:line="240" w:lineRule="auto"/>
        <w:rPr>
          <w:rFonts w:ascii="Arial" w:hAnsi="Arial" w:cs="Arial"/>
          <w:sz w:val="24"/>
          <w:szCs w:val="24"/>
        </w:rPr>
      </w:pPr>
      <w:r w:rsidRPr="00AE3139">
        <w:rPr>
          <w:rFonts w:ascii="Arial" w:hAnsi="Arial" w:cs="Arial"/>
          <w:sz w:val="24"/>
          <w:szCs w:val="24"/>
        </w:rPr>
        <w:t xml:space="preserve">Participants’ accounts portray negative healthcare experiences during an unfamiliar disease outbreak. This study highlights potential vulnerabilities in health system capacity to provide </w:t>
      </w:r>
      <w:proofErr w:type="gramStart"/>
      <w:r w:rsidRPr="00AE3139">
        <w:rPr>
          <w:rFonts w:ascii="Arial" w:hAnsi="Arial" w:cs="Arial"/>
          <w:sz w:val="24"/>
          <w:szCs w:val="24"/>
        </w:rPr>
        <w:t>culturally-appropriate</w:t>
      </w:r>
      <w:proofErr w:type="gramEnd"/>
      <w:r w:rsidRPr="00AE3139">
        <w:rPr>
          <w:rFonts w:ascii="Arial" w:hAnsi="Arial" w:cs="Arial"/>
          <w:sz w:val="24"/>
          <w:szCs w:val="24"/>
        </w:rPr>
        <w:t xml:space="preserve"> care when responding to a disease that is linked to sexual practices, anogenital symptoms, and requires pain management. The potentially enduring aftereffects of mpox, including physical symptoms and healthcare-related distress, suggest a need for attention to follow-up care.</w:t>
      </w:r>
    </w:p>
    <w:p w14:paraId="0EB3F70B" w14:textId="77777777" w:rsidR="00383CC6" w:rsidRDefault="00383CC6" w:rsidP="00473086">
      <w:pPr>
        <w:spacing w:after="0" w:line="240" w:lineRule="auto"/>
        <w:rPr>
          <w:rFonts w:ascii="Arial" w:hAnsi="Arial" w:cs="Arial"/>
          <w:sz w:val="24"/>
          <w:szCs w:val="24"/>
        </w:rPr>
      </w:pPr>
    </w:p>
    <w:p w14:paraId="441901C6" w14:textId="77777777" w:rsidR="00383CC6" w:rsidRDefault="00383CC6" w:rsidP="00473086">
      <w:pPr>
        <w:spacing w:after="0" w:line="240" w:lineRule="auto"/>
        <w:rPr>
          <w:rFonts w:ascii="Arial" w:hAnsi="Arial" w:cs="Arial"/>
          <w:sz w:val="24"/>
          <w:szCs w:val="24"/>
        </w:rPr>
      </w:pPr>
    </w:p>
    <w:p w14:paraId="74C51C3A" w14:textId="4E87753B" w:rsidR="00383CC6" w:rsidRDefault="00383CC6" w:rsidP="00473086">
      <w:pPr>
        <w:spacing w:after="0" w:line="240" w:lineRule="auto"/>
        <w:rPr>
          <w:rFonts w:ascii="Arial" w:hAnsi="Arial" w:cs="Arial"/>
          <w:sz w:val="24"/>
          <w:szCs w:val="24"/>
        </w:rPr>
      </w:pPr>
      <w:r>
        <w:rPr>
          <w:rFonts w:ascii="Arial" w:hAnsi="Arial" w:cs="Arial"/>
          <w:b/>
          <w:bCs/>
          <w:sz w:val="24"/>
          <w:szCs w:val="24"/>
        </w:rPr>
        <w:t>Disclosure of Interest Statement</w:t>
      </w:r>
    </w:p>
    <w:p w14:paraId="225BB22D" w14:textId="6582A540" w:rsidR="00383CC6" w:rsidRDefault="00AE3139" w:rsidP="00473086">
      <w:pPr>
        <w:spacing w:after="0" w:line="240" w:lineRule="auto"/>
        <w:rPr>
          <w:rFonts w:ascii="Arial" w:hAnsi="Arial" w:cs="Arial"/>
          <w:sz w:val="24"/>
          <w:szCs w:val="24"/>
        </w:rPr>
      </w:pPr>
      <w:r w:rsidRPr="003402A7">
        <w:rPr>
          <w:rFonts w:ascii="Arial" w:hAnsi="Arial" w:cs="Arial"/>
          <w:i/>
          <w:iCs/>
          <w:sz w:val="24"/>
          <w:szCs w:val="24"/>
          <w:lang w:bidi="en-US"/>
        </w:rPr>
        <w:t>The Centre for Social Research in Health receives funding from the Australian Government Department of Health. This study was funded by the Triple I Clinical Academic Group Seed Grant Funding (UNSW Medicine &amp; Health). Associate Professor Kari Lancaster is supported by an Australian Research Council DECRA Fellowship (DE230100642). No pharmaceuticals grants were received in the development of this study.</w:t>
      </w:r>
    </w:p>
    <w:p w14:paraId="14153F75" w14:textId="77777777" w:rsidR="00E85360" w:rsidRDefault="00E85360" w:rsidP="00473086">
      <w:pPr>
        <w:spacing w:after="0" w:line="240" w:lineRule="auto"/>
        <w:rPr>
          <w:rFonts w:ascii="Arial" w:hAnsi="Arial" w:cs="Arial"/>
          <w:sz w:val="24"/>
          <w:szCs w:val="24"/>
        </w:rPr>
      </w:pPr>
    </w:p>
    <w:p w14:paraId="128DDFD3" w14:textId="77777777" w:rsidR="00E85360" w:rsidRDefault="00E85360" w:rsidP="00E85360">
      <w:pPr>
        <w:spacing w:after="0" w:line="240" w:lineRule="auto"/>
        <w:rPr>
          <w:rFonts w:ascii="Arial" w:hAnsi="Arial" w:cs="Arial"/>
          <w:sz w:val="24"/>
          <w:szCs w:val="24"/>
        </w:rPr>
      </w:pPr>
      <w:r>
        <w:rPr>
          <w:rFonts w:ascii="Arial" w:hAnsi="Arial" w:cs="Arial"/>
          <w:b/>
          <w:bCs/>
          <w:sz w:val="24"/>
          <w:szCs w:val="24"/>
        </w:rPr>
        <w:t>Presenter Bio:</w:t>
      </w:r>
    </w:p>
    <w:p w14:paraId="67D06CE1" w14:textId="19F9E539" w:rsidR="00E85360" w:rsidRPr="009E06F0" w:rsidRDefault="00AE3139" w:rsidP="00E85360">
      <w:pPr>
        <w:spacing w:after="0" w:line="240" w:lineRule="auto"/>
        <w:rPr>
          <w:rFonts w:ascii="Arial" w:hAnsi="Arial" w:cs="Arial"/>
          <w:sz w:val="24"/>
          <w:szCs w:val="24"/>
        </w:rPr>
      </w:pPr>
      <w:r w:rsidRPr="003402A7">
        <w:rPr>
          <w:rFonts w:ascii="Arial" w:eastAsia="Times New Roman" w:hAnsi="Arial" w:cs="Arial"/>
          <w:kern w:val="0"/>
          <w:sz w:val="24"/>
          <w:szCs w:val="24"/>
          <w:lang w:val="en-US" w:bidi="en-US"/>
          <w14:ligatures w14:val="none"/>
        </w:rPr>
        <w:t xml:space="preserve">Dr Anthony K J Smith is a postdoctoral sociologist and qualitative health </w:t>
      </w:r>
      <w:proofErr w:type="gramStart"/>
      <w:r w:rsidRPr="003402A7">
        <w:rPr>
          <w:rFonts w:ascii="Arial" w:eastAsia="Times New Roman" w:hAnsi="Arial" w:cs="Arial"/>
          <w:kern w:val="0"/>
          <w:sz w:val="24"/>
          <w:szCs w:val="24"/>
          <w:lang w:val="en-US" w:bidi="en-US"/>
          <w14:ligatures w14:val="none"/>
        </w:rPr>
        <w:t>researcher, and</w:t>
      </w:r>
      <w:proofErr w:type="gramEnd"/>
      <w:r w:rsidRPr="003402A7">
        <w:rPr>
          <w:rFonts w:ascii="Arial" w:eastAsia="Times New Roman" w:hAnsi="Arial" w:cs="Arial"/>
          <w:kern w:val="0"/>
          <w:sz w:val="24"/>
          <w:szCs w:val="24"/>
          <w:lang w:val="en-US" w:bidi="en-US"/>
          <w14:ligatures w14:val="none"/>
        </w:rPr>
        <w:t xml:space="preserve"> has authored 20+ journal articles on the social aspects of HIV and sexual health; digital health; and LGBTQ+ health. He is Associate Editor of </w:t>
      </w:r>
      <w:r w:rsidRPr="003402A7">
        <w:rPr>
          <w:rFonts w:ascii="Arial" w:eastAsia="Times New Roman" w:hAnsi="Arial" w:cs="Arial"/>
          <w:i/>
          <w:iCs/>
          <w:kern w:val="0"/>
          <w:sz w:val="24"/>
          <w:szCs w:val="24"/>
          <w:lang w:val="en-US" w:bidi="en-US"/>
          <w14:ligatures w14:val="none"/>
        </w:rPr>
        <w:t>Sexual Health</w:t>
      </w:r>
      <w:r w:rsidRPr="003402A7">
        <w:rPr>
          <w:rFonts w:ascii="Arial" w:eastAsia="Times New Roman" w:hAnsi="Arial" w:cs="Arial"/>
          <w:kern w:val="0"/>
          <w:sz w:val="24"/>
          <w:szCs w:val="24"/>
          <w:lang w:val="en-US" w:bidi="en-US"/>
          <w14:ligatures w14:val="none"/>
        </w:rPr>
        <w:t xml:space="preserve"> and Editorial Advisory Board member of </w:t>
      </w:r>
      <w:r w:rsidRPr="003402A7">
        <w:rPr>
          <w:rFonts w:ascii="Arial" w:eastAsia="Times New Roman" w:hAnsi="Arial" w:cs="Arial"/>
          <w:i/>
          <w:iCs/>
          <w:kern w:val="0"/>
          <w:sz w:val="24"/>
          <w:szCs w:val="24"/>
          <w:lang w:val="en-US" w:bidi="en-US"/>
          <w14:ligatures w14:val="none"/>
        </w:rPr>
        <w:t>Health Sociology Review.</w:t>
      </w:r>
    </w:p>
    <w:p w14:paraId="670A55E3" w14:textId="77777777" w:rsidR="00E85360" w:rsidRPr="00383CC6" w:rsidRDefault="00E85360" w:rsidP="00473086">
      <w:pPr>
        <w:spacing w:after="0" w:line="240" w:lineRule="auto"/>
        <w:rPr>
          <w:rFonts w:ascii="Arial" w:hAnsi="Arial" w:cs="Arial"/>
          <w:sz w:val="24"/>
          <w:szCs w:val="24"/>
        </w:rPr>
      </w:pPr>
    </w:p>
    <w:sectPr w:rsidR="00E85360" w:rsidRPr="00383CC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D82C" w14:textId="77777777" w:rsidR="004E08CA" w:rsidRDefault="004E08CA" w:rsidP="00383CC6">
      <w:pPr>
        <w:spacing w:after="0" w:line="240" w:lineRule="auto"/>
      </w:pPr>
      <w:r>
        <w:separator/>
      </w:r>
    </w:p>
  </w:endnote>
  <w:endnote w:type="continuationSeparator" w:id="0">
    <w:p w14:paraId="50B08A67" w14:textId="77777777" w:rsidR="004E08CA" w:rsidRDefault="004E08CA" w:rsidP="0038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CCB6" w14:textId="77777777" w:rsidR="004E08CA" w:rsidRDefault="004E08CA" w:rsidP="00383CC6">
      <w:pPr>
        <w:spacing w:after="0" w:line="240" w:lineRule="auto"/>
      </w:pPr>
      <w:r>
        <w:separator/>
      </w:r>
    </w:p>
  </w:footnote>
  <w:footnote w:type="continuationSeparator" w:id="0">
    <w:p w14:paraId="54863B3A" w14:textId="77777777" w:rsidR="004E08CA" w:rsidRDefault="004E08CA" w:rsidP="00383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91BB" w14:textId="0D689E1B" w:rsidR="00383CC6" w:rsidRPr="00383CC6" w:rsidRDefault="00383CC6">
    <w:pPr>
      <w:pStyle w:val="Header"/>
      <w:rPr>
        <w:rFonts w:ascii="Arial" w:hAnsi="Arial" w:cs="Arial"/>
        <w:sz w:val="24"/>
        <w:szCs w:val="24"/>
      </w:rPr>
    </w:pPr>
    <w:r w:rsidRPr="00383CC6">
      <w:rPr>
        <w:rFonts w:ascii="Arial" w:hAnsi="Arial" w:cs="Arial"/>
        <w:sz w:val="24"/>
        <w:szCs w:val="24"/>
      </w:rPr>
      <w:t>RESEARCH ABSTRACT TEMPLATE</w:t>
    </w:r>
    <w:r w:rsidR="00870779">
      <w:rPr>
        <w:rFonts w:ascii="Arial" w:hAnsi="Arial" w:cs="Arial"/>
        <w:sz w:val="24"/>
        <w:szCs w:val="24"/>
      </w:rPr>
      <w:br/>
      <w:t>(</w:t>
    </w:r>
    <w:r w:rsidR="00870779" w:rsidRPr="00870779">
      <w:rPr>
        <w:rFonts w:ascii="Arial" w:hAnsi="Arial" w:cs="Arial"/>
        <w:sz w:val="24"/>
        <w:szCs w:val="24"/>
      </w:rPr>
      <w:t>Use this template if your submission reports empirical data, evaluations, or systematic inquiry.</w:t>
    </w:r>
    <w:r w:rsidR="00870779">
      <w:rPr>
        <w:rFonts w:ascii="Arial" w:hAnsi="Arial" w:cs="Arial"/>
        <w:sz w:val="24"/>
        <w:szCs w:val="24"/>
      </w:rPr>
      <w:t>)</w:t>
    </w:r>
  </w:p>
  <w:p w14:paraId="47831494" w14:textId="73948A0D" w:rsidR="00383CC6" w:rsidRPr="00383CC6" w:rsidRDefault="00554166">
    <w:pPr>
      <w:pStyle w:val="Header"/>
      <w:rPr>
        <w:rFonts w:ascii="Arial" w:hAnsi="Arial" w:cs="Arial"/>
        <w:sz w:val="24"/>
        <w:szCs w:val="24"/>
      </w:rPr>
    </w:pPr>
    <w:bookmarkStart w:id="0" w:name="_Hlk158281493"/>
    <w:bookmarkStart w:id="1" w:name="_Hlk158281494"/>
    <w:bookmarkStart w:id="2" w:name="_Hlk158281495"/>
    <w:bookmarkStart w:id="3" w:name="_Hlk158281496"/>
    <w:bookmarkStart w:id="4" w:name="_Hlk158281497"/>
    <w:bookmarkStart w:id="5" w:name="_Hlk158281498"/>
    <w:r>
      <w:rPr>
        <w:rFonts w:ascii="Arial" w:hAnsi="Arial" w:cs="Arial"/>
        <w:sz w:val="24"/>
        <w:szCs w:val="24"/>
      </w:rPr>
      <w:t>Abstracts</w:t>
    </w:r>
    <w:r w:rsidR="00383CC6" w:rsidRPr="00383CC6">
      <w:rPr>
        <w:rFonts w:ascii="Arial" w:hAnsi="Arial" w:cs="Arial"/>
        <w:sz w:val="24"/>
        <w:szCs w:val="24"/>
      </w:rPr>
      <w:t xml:space="preserve"> must not exceed </w:t>
    </w:r>
    <w:r>
      <w:rPr>
        <w:rFonts w:ascii="Arial" w:hAnsi="Arial" w:cs="Arial"/>
        <w:sz w:val="24"/>
        <w:szCs w:val="24"/>
      </w:rPr>
      <w:t>300</w:t>
    </w:r>
    <w:r w:rsidR="00383CC6" w:rsidRPr="00383CC6">
      <w:rPr>
        <w:rFonts w:ascii="Arial" w:hAnsi="Arial" w:cs="Arial"/>
        <w:sz w:val="24"/>
        <w:szCs w:val="24"/>
      </w:rPr>
      <w:t xml:space="preserve"> words (excluding titl</w:t>
    </w:r>
    <w:r>
      <w:rPr>
        <w:rFonts w:ascii="Arial" w:hAnsi="Arial" w:cs="Arial"/>
        <w:sz w:val="24"/>
        <w:szCs w:val="24"/>
      </w:rPr>
      <w:t>e, authors, disclosures, and bio</w:t>
    </w:r>
    <w:r w:rsidR="00383CC6" w:rsidRPr="00383CC6">
      <w:rPr>
        <w:rFonts w:ascii="Arial" w:hAnsi="Arial" w:cs="Arial"/>
        <w:sz w:val="24"/>
        <w:szCs w:val="24"/>
      </w:rPr>
      <w:t xml:space="preserve">). Use Arial </w:t>
    </w:r>
    <w:proofErr w:type="gramStart"/>
    <w:r w:rsidR="00383CC6" w:rsidRPr="00383CC6">
      <w:rPr>
        <w:rFonts w:ascii="Arial" w:hAnsi="Arial" w:cs="Arial"/>
        <w:sz w:val="24"/>
        <w:szCs w:val="24"/>
      </w:rPr>
      <w:t>12 point</w:t>
    </w:r>
    <w:proofErr w:type="gramEnd"/>
    <w:r w:rsidR="00383CC6" w:rsidRPr="00383CC6">
      <w:rPr>
        <w:rFonts w:ascii="Arial" w:hAnsi="Arial" w:cs="Arial"/>
        <w:sz w:val="24"/>
        <w:szCs w:val="24"/>
      </w:rPr>
      <w:t xml:space="preserve"> type only.</w:t>
    </w:r>
    <w:r w:rsidR="00383CC6">
      <w:rPr>
        <w:rFonts w:ascii="Arial" w:hAnsi="Arial" w:cs="Arial"/>
        <w:sz w:val="24"/>
        <w:szCs w:val="24"/>
      </w:rPr>
      <w:t xml:space="preserve"> The headings below may be changed to suit your abstract.</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5F7"/>
    <w:multiLevelType w:val="hybridMultilevel"/>
    <w:tmpl w:val="B38A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574335"/>
    <w:multiLevelType w:val="multilevel"/>
    <w:tmpl w:val="27BE2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523044">
    <w:abstractNumId w:val="0"/>
  </w:num>
  <w:num w:numId="2" w16cid:durableId="8345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9A"/>
    <w:rsid w:val="0009552E"/>
    <w:rsid w:val="00335F52"/>
    <w:rsid w:val="0035378B"/>
    <w:rsid w:val="00383CC6"/>
    <w:rsid w:val="003965CC"/>
    <w:rsid w:val="003C6A97"/>
    <w:rsid w:val="00473086"/>
    <w:rsid w:val="004C3DEC"/>
    <w:rsid w:val="004E08CA"/>
    <w:rsid w:val="005537B3"/>
    <w:rsid w:val="00554166"/>
    <w:rsid w:val="0059240C"/>
    <w:rsid w:val="005E5291"/>
    <w:rsid w:val="0068020F"/>
    <w:rsid w:val="0074531A"/>
    <w:rsid w:val="007E7263"/>
    <w:rsid w:val="0084349F"/>
    <w:rsid w:val="00870779"/>
    <w:rsid w:val="00887B9A"/>
    <w:rsid w:val="00890FD4"/>
    <w:rsid w:val="008B6CE7"/>
    <w:rsid w:val="00A024FB"/>
    <w:rsid w:val="00A52EB9"/>
    <w:rsid w:val="00A64441"/>
    <w:rsid w:val="00A9717A"/>
    <w:rsid w:val="00AE3139"/>
    <w:rsid w:val="00AF1EE8"/>
    <w:rsid w:val="00B5603C"/>
    <w:rsid w:val="00B87856"/>
    <w:rsid w:val="00BB48E0"/>
    <w:rsid w:val="00C34E30"/>
    <w:rsid w:val="00D32D03"/>
    <w:rsid w:val="00DB55A9"/>
    <w:rsid w:val="00E14224"/>
    <w:rsid w:val="00E317A3"/>
    <w:rsid w:val="00E85360"/>
    <w:rsid w:val="00F41E5D"/>
    <w:rsid w:val="00F82E3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D326"/>
  <w15:chartTrackingRefBased/>
  <w15:docId w15:val="{B566FC79-50F3-4357-9C77-614887CF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CC6"/>
  </w:style>
  <w:style w:type="paragraph" w:styleId="Footer">
    <w:name w:val="footer"/>
    <w:basedOn w:val="Normal"/>
    <w:link w:val="FooterChar"/>
    <w:uiPriority w:val="99"/>
    <w:unhideWhenUsed/>
    <w:rsid w:val="00383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C6"/>
  </w:style>
  <w:style w:type="paragraph" w:styleId="ListParagraph">
    <w:name w:val="List Paragraph"/>
    <w:basedOn w:val="Normal"/>
    <w:uiPriority w:val="34"/>
    <w:qFormat/>
    <w:rsid w:val="00383CC6"/>
    <w:pPr>
      <w:ind w:left="720"/>
      <w:contextualSpacing/>
    </w:pPr>
  </w:style>
  <w:style w:type="paragraph" w:styleId="Revision">
    <w:name w:val="Revision"/>
    <w:hidden/>
    <w:uiPriority w:val="99"/>
    <w:semiHidden/>
    <w:rsid w:val="00396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67acd1-5c4a-4dc4-bc2a-7275b000cb2e">
      <Terms xmlns="http://schemas.microsoft.com/office/infopath/2007/PartnerControls"/>
    </lcf76f155ced4ddcb4097134ff3c332f>
    <TaxCatchAll xmlns="5733db1c-5dcf-4f30-b641-7f6440c466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72886D564C844EBEE76904EF4AA2AF" ma:contentTypeVersion="11" ma:contentTypeDescription="Create a new document." ma:contentTypeScope="" ma:versionID="6a305c596f47f103a71fea36dafbb84c">
  <xsd:schema xmlns:xsd="http://www.w3.org/2001/XMLSchema" xmlns:xs="http://www.w3.org/2001/XMLSchema" xmlns:p="http://schemas.microsoft.com/office/2006/metadata/properties" xmlns:ns2="be67acd1-5c4a-4dc4-bc2a-7275b000cb2e" xmlns:ns3="5733db1c-5dcf-4f30-b641-7f6440c46655" targetNamespace="http://schemas.microsoft.com/office/2006/metadata/properties" ma:root="true" ma:fieldsID="ce2bca81c2bb1f79f7bf8b015bae6ff3" ns2:_="" ns3:_="">
    <xsd:import namespace="be67acd1-5c4a-4dc4-bc2a-7275b000cb2e"/>
    <xsd:import namespace="5733db1c-5dcf-4f30-b641-7f6440c466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7acd1-5c4a-4dc4-bc2a-7275b000c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3db1c-5dcf-4f30-b641-7f6440c466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30a43a-d9ea-4cd2-aae1-ffc648af5c9c}" ma:internalName="TaxCatchAll" ma:showField="CatchAllData" ma:web="5733db1c-5dcf-4f30-b641-7f6440c466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3A566-40B2-4CAA-B374-657E0F500555}">
  <ds:schemaRefs>
    <ds:schemaRef ds:uri="http://schemas.microsoft.com/office/2006/metadata/properties"/>
    <ds:schemaRef ds:uri="http://schemas.microsoft.com/office/infopath/2007/PartnerControls"/>
    <ds:schemaRef ds:uri="be67acd1-5c4a-4dc4-bc2a-7275b000cb2e"/>
    <ds:schemaRef ds:uri="5733db1c-5dcf-4f30-b641-7f6440c46655"/>
  </ds:schemaRefs>
</ds:datastoreItem>
</file>

<file path=customXml/itemProps2.xml><?xml version="1.0" encoding="utf-8"?>
<ds:datastoreItem xmlns:ds="http://schemas.openxmlformats.org/officeDocument/2006/customXml" ds:itemID="{155390DA-AE2D-46DE-ADF8-1540138C8B8B}">
  <ds:schemaRefs>
    <ds:schemaRef ds:uri="http://schemas.microsoft.com/sharepoint/v3/contenttype/forms"/>
  </ds:schemaRefs>
</ds:datastoreItem>
</file>

<file path=customXml/itemProps3.xml><?xml version="1.0" encoding="utf-8"?>
<ds:datastoreItem xmlns:ds="http://schemas.openxmlformats.org/officeDocument/2006/customXml" ds:itemID="{181986E2-A9A3-4374-A300-EAACF6949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7acd1-5c4a-4dc4-bc2a-7275b000cb2e"/>
    <ds:schemaRef ds:uri="5733db1c-5dcf-4f30-b641-7f6440c46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4070</Characters>
  <Application>Microsoft Office Word</Application>
  <DocSecurity>0</DocSecurity>
  <Lines>90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Smith</dc:creator>
  <cp:keywords/>
  <dc:description/>
  <cp:lastModifiedBy>Eric Wu</cp:lastModifiedBy>
  <cp:revision>4</cp:revision>
  <dcterms:created xsi:type="dcterms:W3CDTF">2026-02-11T00:07:00Z</dcterms:created>
  <dcterms:modified xsi:type="dcterms:W3CDTF">2026-02-25T02:40:00Z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0x0101004A72886D564C844EBEE76904EF4AA2AF</vt:lpwstr>
  </property>
  <property fmtid="{D5CDD505-2E9C-101B-9397-08002B2CF9AE}" pid="3" name="Order">
    <vt:r8>3934400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